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D" w:rsidRPr="00DB7EE0" w:rsidRDefault="002D794D" w:rsidP="00585EF3">
      <w:pPr>
        <w:pStyle w:val="Nzev"/>
        <w:spacing w:line="276" w:lineRule="auto"/>
        <w:rPr>
          <w:caps/>
          <w:color w:val="000000" w:themeColor="text1"/>
          <w:sz w:val="52"/>
        </w:rPr>
      </w:pPr>
      <w:r w:rsidRPr="00DB7EE0">
        <w:rPr>
          <w:caps/>
          <w:color w:val="000000" w:themeColor="text1"/>
          <w:sz w:val="52"/>
        </w:rPr>
        <w:t>Výroční zpráva</w:t>
      </w: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4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8"/>
        </w:rPr>
      </w:pPr>
      <w:r w:rsidRPr="00DB7EE0">
        <w:rPr>
          <w:b/>
          <w:color w:val="000000" w:themeColor="text1"/>
          <w:sz w:val="28"/>
        </w:rPr>
        <w:t>obecně prospěšné společnosti</w:t>
      </w:r>
    </w:p>
    <w:p w:rsidR="002D794D" w:rsidRPr="00DB7EE0" w:rsidRDefault="002D794D" w:rsidP="00585EF3">
      <w:pPr>
        <w:pStyle w:val="Nadpis1"/>
        <w:spacing w:line="276" w:lineRule="auto"/>
        <w:rPr>
          <w:color w:val="000000" w:themeColor="text1"/>
          <w:sz w:val="52"/>
        </w:rPr>
      </w:pPr>
      <w:r w:rsidRPr="00DB7EE0">
        <w:rPr>
          <w:color w:val="000000" w:themeColor="text1"/>
          <w:sz w:val="52"/>
        </w:rPr>
        <w:t>AKADEMIE</w:t>
      </w:r>
    </w:p>
    <w:p w:rsidR="002D794D" w:rsidRPr="00DB7EE0" w:rsidRDefault="002E5E54" w:rsidP="00585EF3">
      <w:pPr>
        <w:spacing w:line="276" w:lineRule="auto"/>
        <w:jc w:val="center"/>
        <w:rPr>
          <w:b/>
          <w:color w:val="000000" w:themeColor="text1"/>
          <w:sz w:val="28"/>
        </w:rPr>
      </w:pPr>
      <w:r w:rsidRPr="00DB7EE0">
        <w:rPr>
          <w:b/>
          <w:color w:val="000000" w:themeColor="text1"/>
          <w:sz w:val="28"/>
        </w:rPr>
        <w:t xml:space="preserve">za období </w:t>
      </w:r>
      <w:r w:rsidR="00AE0FAD" w:rsidRPr="00DB7EE0">
        <w:rPr>
          <w:b/>
          <w:color w:val="000000" w:themeColor="text1"/>
          <w:sz w:val="28"/>
        </w:rPr>
        <w:t xml:space="preserve">od 1. </w:t>
      </w:r>
      <w:r w:rsidRPr="00DB7EE0">
        <w:rPr>
          <w:b/>
          <w:color w:val="000000" w:themeColor="text1"/>
          <w:sz w:val="28"/>
        </w:rPr>
        <w:t>červen</w:t>
      </w:r>
      <w:r w:rsidR="00DC308B">
        <w:rPr>
          <w:b/>
          <w:color w:val="000000" w:themeColor="text1"/>
          <w:sz w:val="28"/>
        </w:rPr>
        <w:t>ce 2015</w:t>
      </w:r>
      <w:r w:rsidR="00AE0FAD" w:rsidRPr="00DB7EE0">
        <w:rPr>
          <w:b/>
          <w:color w:val="000000" w:themeColor="text1"/>
          <w:sz w:val="28"/>
        </w:rPr>
        <w:t xml:space="preserve"> do</w:t>
      </w:r>
      <w:r w:rsidRPr="00DB7EE0">
        <w:rPr>
          <w:b/>
          <w:color w:val="000000" w:themeColor="text1"/>
          <w:sz w:val="28"/>
        </w:rPr>
        <w:t xml:space="preserve"> </w:t>
      </w:r>
      <w:r w:rsidR="00AE0FAD" w:rsidRPr="00DB7EE0">
        <w:rPr>
          <w:b/>
          <w:color w:val="000000" w:themeColor="text1"/>
          <w:sz w:val="28"/>
        </w:rPr>
        <w:t xml:space="preserve">30. června </w:t>
      </w:r>
      <w:r w:rsidR="00DC308B">
        <w:rPr>
          <w:b/>
          <w:color w:val="000000" w:themeColor="text1"/>
          <w:sz w:val="28"/>
        </w:rPr>
        <w:t>2016</w:t>
      </w:r>
    </w:p>
    <w:p w:rsidR="002D794D" w:rsidRPr="00DB7EE0" w:rsidRDefault="002D794D" w:rsidP="00585EF3">
      <w:pPr>
        <w:spacing w:line="276" w:lineRule="auto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2D794D" w:rsidRPr="00DB7EE0" w:rsidRDefault="002D794D" w:rsidP="00585EF3">
      <w:pPr>
        <w:spacing w:line="276" w:lineRule="auto"/>
        <w:jc w:val="center"/>
        <w:rPr>
          <w:b/>
          <w:color w:val="000000" w:themeColor="text1"/>
        </w:rPr>
      </w:pPr>
    </w:p>
    <w:p w:rsidR="00AE0FAD" w:rsidRPr="00DB7EE0" w:rsidRDefault="002D794D" w:rsidP="00585EF3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B7EE0">
        <w:rPr>
          <w:b/>
          <w:color w:val="000000" w:themeColor="text1"/>
          <w:sz w:val="24"/>
          <w:szCs w:val="24"/>
        </w:rPr>
        <w:t xml:space="preserve">Tato výroční zpráva byla projednána na společném zasedání správní </w:t>
      </w:r>
    </w:p>
    <w:p w:rsidR="002D794D" w:rsidRPr="00DC308B" w:rsidRDefault="002D794D" w:rsidP="00585EF3">
      <w:pPr>
        <w:spacing w:line="276" w:lineRule="auto"/>
        <w:jc w:val="center"/>
        <w:rPr>
          <w:b/>
          <w:color w:val="FF0000"/>
        </w:rPr>
      </w:pPr>
      <w:r w:rsidRPr="00DB7EE0">
        <w:rPr>
          <w:b/>
          <w:color w:val="000000" w:themeColor="text1"/>
          <w:sz w:val="24"/>
          <w:szCs w:val="24"/>
        </w:rPr>
        <w:t xml:space="preserve">a dozorčí rady </w:t>
      </w:r>
      <w:r w:rsidR="00DC308B">
        <w:rPr>
          <w:b/>
          <w:color w:val="000000" w:themeColor="text1"/>
          <w:sz w:val="24"/>
          <w:szCs w:val="24"/>
        </w:rPr>
        <w:t xml:space="preserve">dne </w:t>
      </w:r>
      <w:r w:rsidR="00DC308B" w:rsidRPr="00DC308B">
        <w:rPr>
          <w:b/>
          <w:color w:val="FF0000"/>
          <w:sz w:val="24"/>
          <w:szCs w:val="24"/>
        </w:rPr>
        <w:t>…….</w:t>
      </w:r>
      <w:r w:rsidR="00DC308B">
        <w:rPr>
          <w:b/>
          <w:color w:val="FF0000"/>
          <w:sz w:val="24"/>
          <w:szCs w:val="24"/>
        </w:rPr>
        <w:t xml:space="preserve"> </w:t>
      </w:r>
      <w:r w:rsidR="00DC308B" w:rsidRPr="00DC308B">
        <w:rPr>
          <w:b/>
          <w:color w:val="FF0000"/>
          <w:sz w:val="24"/>
          <w:szCs w:val="24"/>
        </w:rPr>
        <w:t xml:space="preserve">února </w:t>
      </w:r>
      <w:r w:rsidR="00904954" w:rsidRPr="00DC308B">
        <w:rPr>
          <w:b/>
          <w:color w:val="FF0000"/>
          <w:sz w:val="24"/>
          <w:szCs w:val="24"/>
        </w:rPr>
        <w:t xml:space="preserve"> 2016</w:t>
      </w: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jc w:val="center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585EF3" w:rsidRDefault="002D794D" w:rsidP="00585EF3">
      <w:pPr>
        <w:spacing w:line="276" w:lineRule="auto"/>
        <w:rPr>
          <w:rFonts w:ascii="Georgia" w:hAnsi="Georgia"/>
          <w:b/>
        </w:rPr>
      </w:pPr>
    </w:p>
    <w:p w:rsidR="002D794D" w:rsidRPr="00DB7EE0" w:rsidRDefault="00DC308B" w:rsidP="00585EF3">
      <w:pPr>
        <w:pStyle w:val="Nadpis2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Brno 2017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32"/>
          <w:szCs w:val="32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BB34B7" w:rsidRPr="00585EF3" w:rsidRDefault="00BB34B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DB7EE0" w:rsidRDefault="002D794D" w:rsidP="00DB7EE0">
      <w:pPr>
        <w:shd w:val="clear" w:color="auto" w:fill="FFFFFF" w:themeFill="background1"/>
        <w:spacing w:line="276" w:lineRule="auto"/>
        <w:jc w:val="center"/>
        <w:rPr>
          <w:b/>
          <w:bCs/>
          <w:sz w:val="40"/>
          <w:szCs w:val="40"/>
        </w:rPr>
      </w:pPr>
      <w:r w:rsidRPr="00DB7EE0">
        <w:rPr>
          <w:b/>
          <w:bCs/>
          <w:sz w:val="40"/>
          <w:szCs w:val="40"/>
        </w:rPr>
        <w:t>OBSAH</w:t>
      </w:r>
    </w:p>
    <w:p w:rsidR="002D794D" w:rsidRDefault="002D794D" w:rsidP="00585EF3">
      <w:pPr>
        <w:spacing w:line="276" w:lineRule="auto"/>
        <w:ind w:left="360"/>
        <w:jc w:val="both"/>
        <w:rPr>
          <w:rFonts w:ascii="Georgia" w:hAnsi="Georgia"/>
          <w:sz w:val="24"/>
        </w:rPr>
      </w:pPr>
    </w:p>
    <w:p w:rsidR="00E36F42" w:rsidRPr="00585EF3" w:rsidRDefault="00E36F42" w:rsidP="00585EF3">
      <w:pPr>
        <w:spacing w:line="276" w:lineRule="auto"/>
        <w:ind w:left="360"/>
        <w:jc w:val="both"/>
        <w:rPr>
          <w:rFonts w:ascii="Georgia" w:hAnsi="Georgia"/>
          <w:sz w:val="24"/>
        </w:rPr>
      </w:pP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Úvod.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Přehled činnost</w:t>
      </w:r>
      <w:r w:rsidR="00DC308B">
        <w:rPr>
          <w:sz w:val="24"/>
          <w:szCs w:val="24"/>
        </w:rPr>
        <w:t>í uskutečněných v období r. 2015/2016</w:t>
      </w:r>
      <w:r w:rsidRPr="00D15597">
        <w:rPr>
          <w:sz w:val="24"/>
          <w:szCs w:val="24"/>
        </w:rPr>
        <w:t>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Lidské zdroje.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Údaje z rozvahy.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Údaje z výkazu zisk</w:t>
      </w:r>
      <w:r w:rsidR="003D1B08" w:rsidRPr="00D15597">
        <w:rPr>
          <w:sz w:val="24"/>
          <w:szCs w:val="24"/>
        </w:rPr>
        <w:t>ů a ztrát.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Přehled roz</w:t>
      </w:r>
      <w:r w:rsidR="003D1B08" w:rsidRPr="00D15597">
        <w:rPr>
          <w:sz w:val="24"/>
          <w:szCs w:val="24"/>
        </w:rPr>
        <w:t>sahu příjmů.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Vývoj</w:t>
      </w:r>
      <w:r w:rsidR="003D1B08" w:rsidRPr="00D15597">
        <w:rPr>
          <w:sz w:val="24"/>
          <w:szCs w:val="24"/>
        </w:rPr>
        <w:t xml:space="preserve"> a konečný stav fondů.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Stav a pohyb majetku a závazků.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Náklady na plnění obecně prospěšných služeb.</w:t>
      </w:r>
    </w:p>
    <w:p w:rsidR="00AE0FAD" w:rsidRPr="00D15597" w:rsidRDefault="00AE0FAD" w:rsidP="00D15597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 </w:t>
      </w:r>
      <w:r w:rsidR="002D794D" w:rsidRPr="00D15597">
        <w:rPr>
          <w:sz w:val="24"/>
          <w:szCs w:val="24"/>
        </w:rPr>
        <w:t xml:space="preserve">Náklady na plnění doplňkových činností AKADEMIE o.p.s. </w:t>
      </w:r>
    </w:p>
    <w:p w:rsidR="00AE0FAD" w:rsidRPr="00D15597" w:rsidRDefault="002D794D" w:rsidP="00D15597">
      <w:pPr>
        <w:spacing w:line="360" w:lineRule="auto"/>
        <w:ind w:left="360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za uplynulé období.</w:t>
      </w:r>
    </w:p>
    <w:p w:rsidR="002D794D" w:rsidRPr="00D15597" w:rsidRDefault="00AE0FAD" w:rsidP="00D15597">
      <w:pPr>
        <w:spacing w:line="360" w:lineRule="auto"/>
        <w:ind w:left="360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9.2 </w:t>
      </w:r>
      <w:r w:rsidR="002D794D" w:rsidRPr="00D15597">
        <w:rPr>
          <w:sz w:val="24"/>
          <w:szCs w:val="24"/>
        </w:rPr>
        <w:t>Náklady na vlastní činnost.</w:t>
      </w:r>
    </w:p>
    <w:p w:rsidR="002D794D" w:rsidRPr="00D15597" w:rsidRDefault="002D794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Změny ve složení řídících orgánů.</w:t>
      </w:r>
    </w:p>
    <w:p w:rsidR="002D794D" w:rsidRPr="00D15597" w:rsidRDefault="00AE0FAD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>Zakládací smlouva.</w:t>
      </w:r>
    </w:p>
    <w:p w:rsidR="002D794D" w:rsidRPr="00D15597" w:rsidRDefault="00DB7EE0" w:rsidP="00D1559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15597">
        <w:rPr>
          <w:sz w:val="24"/>
          <w:szCs w:val="24"/>
        </w:rPr>
        <w:t xml:space="preserve"> </w:t>
      </w:r>
      <w:r w:rsidR="002D794D" w:rsidRPr="00D15597">
        <w:rPr>
          <w:sz w:val="24"/>
          <w:szCs w:val="24"/>
        </w:rPr>
        <w:t>Závěr – p</w:t>
      </w:r>
      <w:r w:rsidR="00DC308B">
        <w:rPr>
          <w:sz w:val="24"/>
          <w:szCs w:val="24"/>
        </w:rPr>
        <w:t>erspektivy společnosti v r. 2017</w:t>
      </w:r>
      <w:r w:rsidR="002D794D" w:rsidRPr="00D15597">
        <w:rPr>
          <w:sz w:val="24"/>
          <w:szCs w:val="24"/>
        </w:rPr>
        <w:t>.</w:t>
      </w:r>
    </w:p>
    <w:p w:rsidR="002D794D" w:rsidRPr="00BB34B7" w:rsidRDefault="002D794D" w:rsidP="00585EF3">
      <w:pPr>
        <w:spacing w:line="360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15597" w:rsidRPr="00585EF3" w:rsidRDefault="00D15597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2D794D" w:rsidP="00904954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904954">
        <w:rPr>
          <w:b/>
          <w:bCs/>
          <w:caps/>
          <w:sz w:val="28"/>
          <w:szCs w:val="28"/>
        </w:rPr>
        <w:t>Úvod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AE0FAD" w:rsidP="00DB7EE0">
      <w:pPr>
        <w:spacing w:line="360" w:lineRule="auto"/>
        <w:jc w:val="both"/>
        <w:rPr>
          <w:sz w:val="24"/>
          <w:szCs w:val="24"/>
        </w:rPr>
      </w:pPr>
      <w:r w:rsidRPr="00904954">
        <w:rPr>
          <w:sz w:val="24"/>
          <w:szCs w:val="24"/>
        </w:rPr>
        <w:t>V účetním období</w:t>
      </w:r>
      <w:r w:rsidR="002D794D" w:rsidRPr="00904954">
        <w:rPr>
          <w:sz w:val="24"/>
          <w:szCs w:val="24"/>
        </w:rPr>
        <w:t xml:space="preserve"> 201</w:t>
      </w:r>
      <w:r w:rsidR="00DC308B">
        <w:rPr>
          <w:sz w:val="24"/>
          <w:szCs w:val="24"/>
        </w:rPr>
        <w:t>5</w:t>
      </w:r>
      <w:r w:rsidR="002E5E54" w:rsidRPr="00904954">
        <w:rPr>
          <w:sz w:val="24"/>
          <w:szCs w:val="24"/>
        </w:rPr>
        <w:t>/</w:t>
      </w:r>
      <w:r w:rsidR="002D794D" w:rsidRPr="00904954">
        <w:rPr>
          <w:sz w:val="24"/>
          <w:szCs w:val="24"/>
        </w:rPr>
        <w:t>201</w:t>
      </w:r>
      <w:r w:rsidR="00DC308B">
        <w:rPr>
          <w:sz w:val="24"/>
          <w:szCs w:val="24"/>
        </w:rPr>
        <w:t>6</w:t>
      </w:r>
      <w:r w:rsidR="001228B6" w:rsidRPr="00904954">
        <w:rPr>
          <w:sz w:val="24"/>
          <w:szCs w:val="24"/>
        </w:rPr>
        <w:t xml:space="preserve"> společnost úzce spolupracovala</w:t>
      </w:r>
      <w:r w:rsidR="00137982" w:rsidRPr="00904954">
        <w:rPr>
          <w:sz w:val="24"/>
          <w:szCs w:val="24"/>
        </w:rPr>
        <w:t xml:space="preserve"> </w:t>
      </w:r>
      <w:r w:rsidR="002D794D" w:rsidRPr="00904954">
        <w:rPr>
          <w:sz w:val="24"/>
          <w:szCs w:val="24"/>
        </w:rPr>
        <w:t xml:space="preserve">s institucemi zabývajícími se organizací, realizací a zadáváním vědeckovýzkumných prací. </w:t>
      </w:r>
      <w:r w:rsidR="00137982" w:rsidRPr="00904954">
        <w:rPr>
          <w:sz w:val="24"/>
          <w:szCs w:val="24"/>
        </w:rPr>
        <w:t xml:space="preserve">Společnost je </w:t>
      </w:r>
      <w:r w:rsidR="001228B6" w:rsidRPr="00904954">
        <w:rPr>
          <w:sz w:val="24"/>
          <w:szCs w:val="24"/>
        </w:rPr>
        <w:t xml:space="preserve">od roku 2013 </w:t>
      </w:r>
      <w:r w:rsidR="00137982" w:rsidRPr="00904954">
        <w:rPr>
          <w:sz w:val="24"/>
          <w:szCs w:val="24"/>
        </w:rPr>
        <w:t>zařazena n</w:t>
      </w:r>
      <w:r w:rsidR="001228B6" w:rsidRPr="00904954">
        <w:rPr>
          <w:sz w:val="24"/>
          <w:szCs w:val="24"/>
        </w:rPr>
        <w:t>a seznamu výzkumných organizací, který nově vede Rada vlády pro VaV.</w:t>
      </w:r>
      <w:r w:rsidR="002E5E54" w:rsidRPr="00904954">
        <w:rPr>
          <w:sz w:val="24"/>
          <w:szCs w:val="24"/>
        </w:rPr>
        <w:t xml:space="preserve"> </w:t>
      </w:r>
      <w:r w:rsidR="002D794D" w:rsidRPr="00904954">
        <w:rPr>
          <w:sz w:val="24"/>
          <w:szCs w:val="24"/>
        </w:rPr>
        <w:t>Pokračuje spolupráce s Institutem ochrany obyvat</w:t>
      </w:r>
      <w:r w:rsidR="002E5E54" w:rsidRPr="00904954">
        <w:rPr>
          <w:sz w:val="24"/>
          <w:szCs w:val="24"/>
        </w:rPr>
        <w:t>elstva, vysokými školami</w:t>
      </w:r>
      <w:r w:rsidR="002D794D" w:rsidRPr="00904954">
        <w:rPr>
          <w:sz w:val="24"/>
          <w:szCs w:val="24"/>
        </w:rPr>
        <w:t>, výzkumnými ústavy řešícími problematiku bezpečnosti, podnikatelskou sférou a dalšími organizacemi a institucemi</w:t>
      </w:r>
      <w:r w:rsidRPr="00904954">
        <w:rPr>
          <w:sz w:val="24"/>
          <w:szCs w:val="24"/>
        </w:rPr>
        <w:t xml:space="preserve"> činnými v této oblasti</w:t>
      </w:r>
      <w:r w:rsidR="00904954" w:rsidRPr="00904954">
        <w:rPr>
          <w:sz w:val="24"/>
          <w:szCs w:val="24"/>
        </w:rPr>
        <w:t>, například MŽP ČR, MV ČR a dalšími subjekty</w:t>
      </w:r>
      <w:r w:rsidR="00DC308B">
        <w:rPr>
          <w:sz w:val="24"/>
          <w:szCs w:val="24"/>
        </w:rPr>
        <w:t>. V předchozích obdobích byla</w:t>
      </w:r>
      <w:r w:rsidR="002D794D" w:rsidRPr="00904954">
        <w:rPr>
          <w:sz w:val="24"/>
          <w:szCs w:val="24"/>
        </w:rPr>
        <w:t xml:space="preserve"> rozvíjena </w:t>
      </w:r>
      <w:r w:rsidR="00137982" w:rsidRPr="00904954">
        <w:rPr>
          <w:sz w:val="24"/>
          <w:szCs w:val="24"/>
        </w:rPr>
        <w:t xml:space="preserve">i </w:t>
      </w:r>
      <w:r w:rsidR="002D794D" w:rsidRPr="00904954">
        <w:rPr>
          <w:sz w:val="24"/>
          <w:szCs w:val="24"/>
        </w:rPr>
        <w:t>spolupráce se zahraničními subjekty</w:t>
      </w:r>
      <w:r w:rsidR="00137982" w:rsidRPr="00904954">
        <w:rPr>
          <w:sz w:val="24"/>
          <w:szCs w:val="24"/>
        </w:rPr>
        <w:t xml:space="preserve"> </w:t>
      </w:r>
      <w:r w:rsidR="00904954" w:rsidRPr="00904954">
        <w:rPr>
          <w:sz w:val="24"/>
          <w:szCs w:val="24"/>
        </w:rPr>
        <w:t>v rámci programu Česko – Saské přeshraniční spolupráce při přípravě projektu v oblasti krizového řízení ve spolupráci s Ústeckým krajem</w:t>
      </w:r>
      <w:r w:rsidR="00DC308B">
        <w:rPr>
          <w:sz w:val="24"/>
          <w:szCs w:val="24"/>
        </w:rPr>
        <w:t xml:space="preserve"> a Libereckým krajem</w:t>
      </w:r>
      <w:r w:rsidR="00904954" w:rsidRPr="00904954">
        <w:rPr>
          <w:sz w:val="24"/>
          <w:szCs w:val="24"/>
        </w:rPr>
        <w:t>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904954" w:rsidRDefault="002D794D" w:rsidP="00904954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904954">
        <w:rPr>
          <w:b/>
          <w:bCs/>
          <w:caps/>
          <w:sz w:val="28"/>
          <w:szCs w:val="28"/>
        </w:rPr>
        <w:t>Přehled činností vykonávaných v OBDOBÍ</w:t>
      </w:r>
      <w:r w:rsidR="00DC308B">
        <w:rPr>
          <w:b/>
          <w:bCs/>
          <w:caps/>
          <w:sz w:val="28"/>
          <w:szCs w:val="28"/>
        </w:rPr>
        <w:t xml:space="preserve"> 2015/2016</w:t>
      </w:r>
      <w:r w:rsidRPr="00904954">
        <w:rPr>
          <w:b/>
          <w:bCs/>
          <w:caps/>
          <w:sz w:val="28"/>
          <w:szCs w:val="28"/>
        </w:rPr>
        <w:t xml:space="preserve"> s uvedením vztahu k cíli založení obecně prospěšné společnosti</w:t>
      </w:r>
    </w:p>
    <w:p w:rsidR="002D794D" w:rsidRPr="00904954" w:rsidRDefault="002D794D" w:rsidP="00904954">
      <w:pPr>
        <w:shd w:val="clear" w:color="auto" w:fill="FFFFFF" w:themeFill="background1"/>
        <w:spacing w:line="276" w:lineRule="auto"/>
        <w:jc w:val="both"/>
        <w:rPr>
          <w:sz w:val="24"/>
        </w:rPr>
      </w:pPr>
    </w:p>
    <w:p w:rsidR="002D794D" w:rsidRPr="00904954" w:rsidRDefault="00904954" w:rsidP="00904954">
      <w:pPr>
        <w:spacing w:line="360" w:lineRule="auto"/>
        <w:jc w:val="both"/>
        <w:rPr>
          <w:sz w:val="24"/>
          <w:szCs w:val="24"/>
        </w:rPr>
      </w:pPr>
      <w:r w:rsidRPr="00904954">
        <w:rPr>
          <w:sz w:val="24"/>
          <w:szCs w:val="24"/>
        </w:rPr>
        <w:t xml:space="preserve">Činnosti, </w:t>
      </w:r>
      <w:r w:rsidR="002D794D" w:rsidRPr="00904954">
        <w:rPr>
          <w:sz w:val="24"/>
          <w:szCs w:val="24"/>
        </w:rPr>
        <w:t>ke kterým se AKADEMIE o.p.s. v období 201</w:t>
      </w:r>
      <w:r w:rsidR="00DC308B">
        <w:rPr>
          <w:sz w:val="24"/>
          <w:szCs w:val="24"/>
        </w:rPr>
        <w:t>5</w:t>
      </w:r>
      <w:r w:rsidRPr="00904954">
        <w:rPr>
          <w:sz w:val="24"/>
          <w:szCs w:val="24"/>
        </w:rPr>
        <w:t>/</w:t>
      </w:r>
      <w:r w:rsidR="002D794D" w:rsidRPr="00904954">
        <w:rPr>
          <w:sz w:val="24"/>
          <w:szCs w:val="24"/>
        </w:rPr>
        <w:t>201</w:t>
      </w:r>
      <w:r w:rsidR="00DC308B">
        <w:rPr>
          <w:sz w:val="24"/>
          <w:szCs w:val="24"/>
        </w:rPr>
        <w:t>6</w:t>
      </w:r>
      <w:r w:rsidR="002D794D" w:rsidRPr="00904954">
        <w:rPr>
          <w:sz w:val="24"/>
          <w:szCs w:val="24"/>
        </w:rPr>
        <w:t xml:space="preserve"> smluvně zavázala, byly zam</w:t>
      </w:r>
      <w:r w:rsidR="00373AC2">
        <w:rPr>
          <w:sz w:val="24"/>
          <w:szCs w:val="24"/>
        </w:rPr>
        <w:t xml:space="preserve">ěřeny na oblast vědy a výzkumu a rozvoj duchovních hodnot. </w:t>
      </w:r>
      <w:r w:rsidR="002D794D" w:rsidRPr="00904954">
        <w:rPr>
          <w:sz w:val="24"/>
          <w:szCs w:val="24"/>
        </w:rPr>
        <w:t xml:space="preserve">Jednalo se zejména o analytickou činnost a výzkum </w:t>
      </w:r>
      <w:r w:rsidRPr="00904954">
        <w:rPr>
          <w:sz w:val="24"/>
          <w:szCs w:val="24"/>
        </w:rPr>
        <w:t xml:space="preserve">i </w:t>
      </w:r>
      <w:r w:rsidR="002D794D" w:rsidRPr="00904954">
        <w:rPr>
          <w:sz w:val="24"/>
          <w:szCs w:val="24"/>
        </w:rPr>
        <w:t>v  oblasti oborů, které nejsou podporovány mezinárodními či státními programy, krizového managementu, ochrany obyvatelstva a v oblasti bezpečnostní vědy a výzkumu.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585EF3">
        <w:rPr>
          <w:rFonts w:ascii="Georgia" w:hAnsi="Georgia"/>
          <w:sz w:val="24"/>
          <w:szCs w:val="24"/>
        </w:rPr>
        <w:tab/>
      </w:r>
    </w:p>
    <w:p w:rsidR="002D794D" w:rsidRPr="00373AC2" w:rsidRDefault="002D794D" w:rsidP="00585EF3">
      <w:pPr>
        <w:spacing w:line="276" w:lineRule="auto"/>
        <w:jc w:val="both"/>
        <w:rPr>
          <w:b/>
          <w:sz w:val="24"/>
          <w:szCs w:val="24"/>
        </w:rPr>
      </w:pPr>
      <w:r w:rsidRPr="00373AC2">
        <w:rPr>
          <w:b/>
          <w:sz w:val="24"/>
          <w:szCs w:val="24"/>
        </w:rPr>
        <w:t>Počty smluv v členění podle druhů služeb byly následující: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2D794D" w:rsidRPr="002B7460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B7460">
        <w:rPr>
          <w:sz w:val="24"/>
          <w:szCs w:val="24"/>
        </w:rPr>
        <w:t>P</w:t>
      </w:r>
      <w:r w:rsidR="002D794D" w:rsidRPr="002B7460">
        <w:rPr>
          <w:sz w:val="24"/>
          <w:szCs w:val="24"/>
        </w:rPr>
        <w:t>oradenství a konzultační činnost při re</w:t>
      </w:r>
      <w:r w:rsidR="00585EF3" w:rsidRPr="002B7460">
        <w:rPr>
          <w:sz w:val="24"/>
          <w:szCs w:val="24"/>
        </w:rPr>
        <w:t>alizaci úkolů výzkumu a vývoje</w:t>
      </w:r>
      <w:r w:rsidRPr="002B7460">
        <w:rPr>
          <w:sz w:val="24"/>
          <w:szCs w:val="24"/>
        </w:rPr>
        <w:t xml:space="preserve"> </w:t>
      </w:r>
      <w:r w:rsidRPr="00DC308B">
        <w:rPr>
          <w:color w:val="FF0000"/>
          <w:sz w:val="24"/>
          <w:szCs w:val="24"/>
        </w:rPr>
        <w:t xml:space="preserve">- </w:t>
      </w:r>
      <w:r w:rsidR="00766A6A" w:rsidRPr="00DC308B">
        <w:rPr>
          <w:color w:val="FF0000"/>
          <w:sz w:val="24"/>
          <w:szCs w:val="24"/>
        </w:rPr>
        <w:t>10</w:t>
      </w:r>
      <w:r w:rsidR="00585EF3" w:rsidRPr="00DC308B">
        <w:rPr>
          <w:color w:val="FF0000"/>
          <w:sz w:val="24"/>
          <w:szCs w:val="24"/>
        </w:rPr>
        <w:tab/>
      </w:r>
    </w:p>
    <w:p w:rsidR="002D794D" w:rsidRPr="002B7460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B7460">
        <w:rPr>
          <w:sz w:val="24"/>
          <w:szCs w:val="24"/>
        </w:rPr>
        <w:t>Výuka a odborné školení</w:t>
      </w:r>
      <w:r w:rsidRPr="002B7460">
        <w:rPr>
          <w:sz w:val="24"/>
          <w:szCs w:val="24"/>
        </w:rPr>
        <w:tab/>
      </w:r>
      <w:r w:rsidRPr="00DC308B">
        <w:rPr>
          <w:color w:val="FF0000"/>
          <w:sz w:val="24"/>
          <w:szCs w:val="24"/>
        </w:rPr>
        <w:t xml:space="preserve">- </w:t>
      </w:r>
      <w:r w:rsidR="00766A6A" w:rsidRPr="00DC308B">
        <w:rPr>
          <w:color w:val="FF0000"/>
          <w:sz w:val="24"/>
          <w:szCs w:val="24"/>
        </w:rPr>
        <w:t>1</w:t>
      </w:r>
      <w:r w:rsidRPr="00DC308B">
        <w:rPr>
          <w:color w:val="FF0000"/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</w:p>
    <w:p w:rsidR="002D794D" w:rsidRPr="002B7460" w:rsidRDefault="00373AC2" w:rsidP="00373AC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B7460">
        <w:rPr>
          <w:sz w:val="24"/>
          <w:szCs w:val="24"/>
        </w:rPr>
        <w:t>A</w:t>
      </w:r>
      <w:r w:rsidR="002D794D" w:rsidRPr="002B7460">
        <w:rPr>
          <w:sz w:val="24"/>
          <w:szCs w:val="24"/>
        </w:rPr>
        <w:t>nalytická činnost,</w:t>
      </w:r>
      <w:r w:rsidRPr="002B7460">
        <w:rPr>
          <w:sz w:val="24"/>
          <w:szCs w:val="24"/>
        </w:rPr>
        <w:t xml:space="preserve"> výzkum a vědecká zkoumání </w:t>
      </w:r>
      <w:r w:rsidRPr="00DC308B">
        <w:rPr>
          <w:color w:val="FF0000"/>
          <w:sz w:val="24"/>
          <w:szCs w:val="24"/>
        </w:rPr>
        <w:t xml:space="preserve">- </w:t>
      </w:r>
      <w:r w:rsidR="00766A6A" w:rsidRPr="00DC308B">
        <w:rPr>
          <w:color w:val="FF0000"/>
          <w:sz w:val="24"/>
          <w:szCs w:val="24"/>
        </w:rPr>
        <w:t>16</w:t>
      </w:r>
      <w:r w:rsidRPr="00DC308B">
        <w:rPr>
          <w:color w:val="FF0000"/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  <w:r w:rsidRPr="002B7460">
        <w:rPr>
          <w:sz w:val="24"/>
          <w:szCs w:val="24"/>
        </w:rPr>
        <w:tab/>
      </w:r>
    </w:p>
    <w:p w:rsidR="002D794D" w:rsidRPr="00DC308B" w:rsidRDefault="00373AC2" w:rsidP="00373AC2">
      <w:pPr>
        <w:numPr>
          <w:ilvl w:val="0"/>
          <w:numId w:val="3"/>
        </w:numPr>
        <w:spacing w:line="360" w:lineRule="auto"/>
        <w:jc w:val="both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>P</w:t>
      </w:r>
      <w:r w:rsidR="002D794D" w:rsidRPr="002B7460">
        <w:rPr>
          <w:sz w:val="24"/>
          <w:szCs w:val="24"/>
        </w:rPr>
        <w:t>odpora pořadatelů vědeckých konferen</w:t>
      </w:r>
      <w:r w:rsidR="00AE0FAD" w:rsidRPr="002B7460">
        <w:rPr>
          <w:sz w:val="24"/>
          <w:szCs w:val="24"/>
        </w:rPr>
        <w:t xml:space="preserve">cí, seminářů, přednášek, </w:t>
      </w:r>
      <w:r w:rsidRPr="002B7460">
        <w:rPr>
          <w:sz w:val="24"/>
          <w:szCs w:val="24"/>
        </w:rPr>
        <w:t xml:space="preserve">kolokvií </w:t>
      </w:r>
      <w:r w:rsidRPr="00DC308B">
        <w:rPr>
          <w:color w:val="FF0000"/>
          <w:sz w:val="24"/>
          <w:szCs w:val="24"/>
        </w:rPr>
        <w:t xml:space="preserve">- </w:t>
      </w:r>
      <w:r w:rsidR="00766A6A" w:rsidRPr="00DC308B">
        <w:rPr>
          <w:color w:val="FF0000"/>
          <w:sz w:val="24"/>
          <w:szCs w:val="24"/>
        </w:rPr>
        <w:t>3</w:t>
      </w:r>
      <w:r w:rsidRPr="00DC308B">
        <w:rPr>
          <w:color w:val="FF0000"/>
          <w:sz w:val="24"/>
          <w:szCs w:val="24"/>
        </w:rPr>
        <w:tab/>
        <w:t xml:space="preserve"> </w:t>
      </w:r>
    </w:p>
    <w:p w:rsidR="002D794D" w:rsidRPr="00DC308B" w:rsidRDefault="00373AC2" w:rsidP="00373AC2">
      <w:pPr>
        <w:numPr>
          <w:ilvl w:val="0"/>
          <w:numId w:val="3"/>
        </w:numPr>
        <w:spacing w:line="360" w:lineRule="auto"/>
        <w:jc w:val="both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>P</w:t>
      </w:r>
      <w:r w:rsidR="00AE0FAD" w:rsidRPr="002B7460">
        <w:rPr>
          <w:sz w:val="24"/>
          <w:szCs w:val="24"/>
        </w:rPr>
        <w:t xml:space="preserve">odporu </w:t>
      </w:r>
      <w:r w:rsidR="002D794D" w:rsidRPr="002B7460">
        <w:rPr>
          <w:sz w:val="24"/>
          <w:szCs w:val="24"/>
        </w:rPr>
        <w:t>při zajišťování stáží, praxí a studijn</w:t>
      </w:r>
      <w:r w:rsidR="003D1B08" w:rsidRPr="002B7460">
        <w:rPr>
          <w:sz w:val="24"/>
          <w:szCs w:val="24"/>
        </w:rPr>
        <w:t>ích pobytů učitelů a studentů</w:t>
      </w:r>
      <w:r w:rsidRPr="002B7460">
        <w:rPr>
          <w:sz w:val="24"/>
          <w:szCs w:val="24"/>
        </w:rPr>
        <w:t xml:space="preserve"> </w:t>
      </w:r>
      <w:r w:rsidRPr="00DC308B">
        <w:rPr>
          <w:color w:val="FF0000"/>
          <w:sz w:val="24"/>
          <w:szCs w:val="24"/>
        </w:rPr>
        <w:t xml:space="preserve">- </w:t>
      </w:r>
      <w:r w:rsidR="00766A6A" w:rsidRPr="00DC308B">
        <w:rPr>
          <w:color w:val="FF0000"/>
          <w:sz w:val="24"/>
          <w:szCs w:val="24"/>
        </w:rPr>
        <w:t>2</w:t>
      </w:r>
      <w:r w:rsidR="003D1B08" w:rsidRPr="00DC308B">
        <w:rPr>
          <w:color w:val="FF0000"/>
          <w:sz w:val="24"/>
          <w:szCs w:val="24"/>
        </w:rPr>
        <w:tab/>
        <w:t xml:space="preserve"> 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373AC2" w:rsidRDefault="002D794D" w:rsidP="00373AC2">
      <w:pPr>
        <w:spacing w:line="360" w:lineRule="auto"/>
        <w:jc w:val="both"/>
        <w:rPr>
          <w:sz w:val="24"/>
          <w:szCs w:val="24"/>
        </w:rPr>
      </w:pPr>
      <w:r w:rsidRPr="00373AC2">
        <w:rPr>
          <w:sz w:val="24"/>
          <w:szCs w:val="24"/>
        </w:rPr>
        <w:t>Výše uvedené sl</w:t>
      </w:r>
      <w:r w:rsidR="00137982" w:rsidRPr="00373AC2">
        <w:rPr>
          <w:sz w:val="24"/>
          <w:szCs w:val="24"/>
        </w:rPr>
        <w:t>užby byly poskytovány v oborech se zaměřen</w:t>
      </w:r>
      <w:r w:rsidR="00373AC2">
        <w:rPr>
          <w:sz w:val="24"/>
          <w:szCs w:val="24"/>
        </w:rPr>
        <w:t>ím na ochranu obyvatelstva, krizové řízení</w:t>
      </w:r>
      <w:r w:rsidR="00137982" w:rsidRPr="00373AC2">
        <w:rPr>
          <w:sz w:val="24"/>
          <w:szCs w:val="24"/>
        </w:rPr>
        <w:t xml:space="preserve"> a zvýšení </w:t>
      </w:r>
      <w:r w:rsidR="00373AC2">
        <w:rPr>
          <w:sz w:val="24"/>
          <w:szCs w:val="24"/>
        </w:rPr>
        <w:t xml:space="preserve">úrovně </w:t>
      </w:r>
      <w:r w:rsidR="00137982" w:rsidRPr="00373AC2">
        <w:rPr>
          <w:sz w:val="24"/>
          <w:szCs w:val="24"/>
        </w:rPr>
        <w:t>bezpečnosti.</w:t>
      </w:r>
      <w:r w:rsidR="00E36F42" w:rsidRPr="00373AC2">
        <w:rPr>
          <w:sz w:val="24"/>
          <w:szCs w:val="24"/>
        </w:rPr>
        <w:t xml:space="preserve"> </w:t>
      </w:r>
      <w:r w:rsidRPr="00373AC2">
        <w:rPr>
          <w:sz w:val="24"/>
          <w:szCs w:val="24"/>
        </w:rPr>
        <w:t xml:space="preserve">Dále AKADEMIE o.p.s. zabezpečovala financování řešitelům a spoluřešitelům </w:t>
      </w:r>
      <w:r w:rsidR="00AE0FAD" w:rsidRPr="00373AC2">
        <w:rPr>
          <w:sz w:val="24"/>
          <w:szCs w:val="24"/>
        </w:rPr>
        <w:t>vědeckých projektů</w:t>
      </w:r>
      <w:r w:rsidR="00137982" w:rsidRPr="00373AC2">
        <w:rPr>
          <w:sz w:val="24"/>
          <w:szCs w:val="24"/>
        </w:rPr>
        <w:t xml:space="preserve"> a uhradila </w:t>
      </w:r>
      <w:r w:rsidR="003D1B08" w:rsidRPr="00373AC2">
        <w:rPr>
          <w:sz w:val="24"/>
          <w:szCs w:val="24"/>
        </w:rPr>
        <w:t>účastnické poplatky</w:t>
      </w:r>
      <w:r w:rsidRPr="00373AC2">
        <w:rPr>
          <w:sz w:val="24"/>
          <w:szCs w:val="24"/>
        </w:rPr>
        <w:t xml:space="preserve"> na konferencích </w:t>
      </w:r>
      <w:r w:rsidR="00373AC2" w:rsidRPr="00FA3AC3">
        <w:rPr>
          <w:color w:val="FF0000"/>
          <w:sz w:val="24"/>
          <w:szCs w:val="24"/>
        </w:rPr>
        <w:t>5</w:t>
      </w:r>
      <w:r w:rsidR="00137982" w:rsidRPr="00FA3AC3">
        <w:rPr>
          <w:color w:val="FF0000"/>
          <w:sz w:val="24"/>
          <w:szCs w:val="24"/>
        </w:rPr>
        <w:t xml:space="preserve"> </w:t>
      </w:r>
      <w:r w:rsidRPr="00FA3AC3">
        <w:rPr>
          <w:color w:val="FF0000"/>
          <w:sz w:val="24"/>
          <w:szCs w:val="24"/>
        </w:rPr>
        <w:t>vědeckopedagogickým prac</w:t>
      </w:r>
      <w:r w:rsidR="003D1B08" w:rsidRPr="00FA3AC3">
        <w:rPr>
          <w:color w:val="FF0000"/>
          <w:sz w:val="24"/>
          <w:szCs w:val="24"/>
        </w:rPr>
        <w:t>ovníkům.</w:t>
      </w:r>
      <w:r w:rsidR="00E36F42" w:rsidRPr="00FA3AC3">
        <w:rPr>
          <w:color w:val="FF0000"/>
          <w:sz w:val="24"/>
          <w:szCs w:val="24"/>
        </w:rPr>
        <w:t xml:space="preserve"> </w:t>
      </w:r>
    </w:p>
    <w:p w:rsidR="00C32009" w:rsidRPr="00373AC2" w:rsidRDefault="002D794D" w:rsidP="00373AC2">
      <w:pPr>
        <w:spacing w:line="360" w:lineRule="auto"/>
        <w:jc w:val="both"/>
        <w:rPr>
          <w:sz w:val="24"/>
          <w:szCs w:val="24"/>
        </w:rPr>
      </w:pPr>
      <w:r w:rsidRPr="00373AC2">
        <w:rPr>
          <w:sz w:val="24"/>
          <w:szCs w:val="24"/>
        </w:rPr>
        <w:t>Z prostředků Akademie o.p.s. byl nakupován drobný hmotný majetek, který byl v</w:t>
      </w:r>
      <w:r w:rsidR="00137982" w:rsidRPr="00373AC2">
        <w:rPr>
          <w:sz w:val="24"/>
          <w:szCs w:val="24"/>
        </w:rPr>
        <w:t> </w:t>
      </w:r>
      <w:r w:rsidRPr="00373AC2">
        <w:rPr>
          <w:sz w:val="24"/>
          <w:szCs w:val="24"/>
        </w:rPr>
        <w:t>souladu</w:t>
      </w:r>
      <w:r w:rsidR="00137982" w:rsidRPr="00373AC2">
        <w:rPr>
          <w:sz w:val="24"/>
          <w:szCs w:val="24"/>
        </w:rPr>
        <w:t xml:space="preserve"> </w:t>
      </w:r>
      <w:r w:rsidRPr="00373AC2">
        <w:rPr>
          <w:sz w:val="24"/>
          <w:szCs w:val="24"/>
        </w:rPr>
        <w:t>s cílem společnosti Akademie o.p.s. využíván ve prospěch vědeckopedagogických pracovníků společnosti, výuky a výzkumu.</w:t>
      </w:r>
      <w:r w:rsidR="00585EF3" w:rsidRPr="00373AC2">
        <w:rPr>
          <w:sz w:val="24"/>
          <w:szCs w:val="24"/>
        </w:rPr>
        <w:t xml:space="preserve"> </w:t>
      </w:r>
      <w:r w:rsidR="00C32009" w:rsidRPr="00373AC2">
        <w:rPr>
          <w:sz w:val="24"/>
          <w:szCs w:val="24"/>
        </w:rPr>
        <w:t xml:space="preserve">Pokračovalo </w:t>
      </w:r>
      <w:r w:rsidRPr="00373AC2">
        <w:rPr>
          <w:sz w:val="24"/>
          <w:szCs w:val="24"/>
        </w:rPr>
        <w:t xml:space="preserve">vytváření databáze informací a materiálů pro </w:t>
      </w:r>
      <w:r w:rsidR="00585EF3" w:rsidRPr="00373AC2">
        <w:rPr>
          <w:sz w:val="24"/>
          <w:szCs w:val="24"/>
        </w:rPr>
        <w:t xml:space="preserve">jednotlivé </w:t>
      </w:r>
      <w:r w:rsidRPr="00373AC2">
        <w:rPr>
          <w:sz w:val="24"/>
          <w:szCs w:val="24"/>
        </w:rPr>
        <w:t>úkoly.</w:t>
      </w:r>
      <w:r w:rsidR="00C32009" w:rsidRPr="00373AC2">
        <w:rPr>
          <w:sz w:val="24"/>
          <w:szCs w:val="24"/>
        </w:rPr>
        <w:t xml:space="preserve"> </w:t>
      </w:r>
    </w:p>
    <w:p w:rsidR="002142A5" w:rsidRPr="00373AC2" w:rsidRDefault="002142A5" w:rsidP="00373AC2">
      <w:pPr>
        <w:spacing w:line="360" w:lineRule="auto"/>
        <w:jc w:val="both"/>
        <w:rPr>
          <w:sz w:val="24"/>
          <w:szCs w:val="24"/>
        </w:rPr>
      </w:pPr>
    </w:p>
    <w:p w:rsidR="005A2475" w:rsidRPr="00373AC2" w:rsidRDefault="00DC308B" w:rsidP="00373A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období 2015/2016</w:t>
      </w:r>
      <w:r w:rsidR="002E5E54" w:rsidRPr="00373A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proběhl audit ze strany MF ČR na </w:t>
      </w:r>
      <w:r w:rsidR="00E36F42" w:rsidRPr="00373AC2">
        <w:rPr>
          <w:sz w:val="24"/>
          <w:szCs w:val="24"/>
        </w:rPr>
        <w:t>řešení</w:t>
      </w:r>
      <w:r w:rsidR="002E5E54" w:rsidRPr="00373AC2">
        <w:rPr>
          <w:sz w:val="24"/>
          <w:szCs w:val="24"/>
        </w:rPr>
        <w:t xml:space="preserve"> projekt</w:t>
      </w:r>
      <w:r w:rsidR="00E36F42" w:rsidRPr="00373AC2">
        <w:rPr>
          <w:sz w:val="24"/>
          <w:szCs w:val="24"/>
        </w:rPr>
        <w:t>u</w:t>
      </w:r>
      <w:r w:rsidR="00373AC2">
        <w:rPr>
          <w:sz w:val="24"/>
          <w:szCs w:val="24"/>
        </w:rPr>
        <w:t xml:space="preserve"> „</w:t>
      </w:r>
      <w:r w:rsidR="00373AC2" w:rsidRPr="00373AC2">
        <w:rPr>
          <w:sz w:val="24"/>
          <w:szCs w:val="24"/>
        </w:rPr>
        <w:t>Přeshraniční integrace informací, nástrojů, přístupů a opatření při předcházení a řešení povodní a katastrof</w:t>
      </w:r>
      <w:r w:rsidR="003D1B08" w:rsidRPr="00373AC2">
        <w:rPr>
          <w:sz w:val="24"/>
          <w:szCs w:val="24"/>
        </w:rPr>
        <w:t>“ v rámci programu Cíl</w:t>
      </w:r>
      <w:r w:rsidR="002E5E54" w:rsidRPr="00373AC2">
        <w:rPr>
          <w:sz w:val="24"/>
          <w:szCs w:val="24"/>
        </w:rPr>
        <w:t xml:space="preserve"> 3 / Ziel 3</w:t>
      </w:r>
      <w:r w:rsidR="00373AC2">
        <w:rPr>
          <w:sz w:val="24"/>
          <w:szCs w:val="24"/>
        </w:rPr>
        <w:t>, který byl řešen společně s Libereckým krajem a německými okresy Bautzen a Görlitz.</w:t>
      </w:r>
      <w:r w:rsidR="00DB7EE0">
        <w:rPr>
          <w:sz w:val="24"/>
          <w:szCs w:val="24"/>
        </w:rPr>
        <w:t xml:space="preserve"> </w:t>
      </w:r>
      <w:r w:rsidR="00FA3AC3" w:rsidRPr="00FA3AC3">
        <w:rPr>
          <w:color w:val="FF0000"/>
          <w:sz w:val="24"/>
          <w:szCs w:val="24"/>
        </w:rPr>
        <w:t>Dále v tomto období proběhl audit u projektu ………</w:t>
      </w:r>
      <w:r w:rsidR="00403866">
        <w:rPr>
          <w:sz w:val="24"/>
          <w:szCs w:val="24"/>
        </w:rPr>
        <w:t xml:space="preserve">Pokračuje </w:t>
      </w:r>
      <w:r w:rsidR="005A2475" w:rsidRPr="00373AC2">
        <w:rPr>
          <w:sz w:val="24"/>
          <w:szCs w:val="24"/>
        </w:rPr>
        <w:t>spolupráce s MŽP ČR při aktualizaci KP a řešení koncepce environme</w:t>
      </w:r>
      <w:r w:rsidR="00D07217">
        <w:rPr>
          <w:sz w:val="24"/>
          <w:szCs w:val="24"/>
        </w:rPr>
        <w:t>ntální bezpečnosti. Společnostem</w:t>
      </w:r>
      <w:r w:rsidR="005A2475" w:rsidRPr="00373AC2">
        <w:rPr>
          <w:sz w:val="24"/>
          <w:szCs w:val="24"/>
        </w:rPr>
        <w:t xml:space="preserve"> </w:t>
      </w:r>
      <w:r w:rsidR="005A2475" w:rsidRPr="00D07217">
        <w:rPr>
          <w:color w:val="FF0000"/>
          <w:sz w:val="24"/>
          <w:szCs w:val="24"/>
        </w:rPr>
        <w:t>ISP a.s. a SMARTTECHNIK a.s.</w:t>
      </w:r>
      <w:r w:rsidR="00D07217">
        <w:rPr>
          <w:sz w:val="24"/>
          <w:szCs w:val="24"/>
        </w:rPr>
        <w:t xml:space="preserve">, </w:t>
      </w:r>
      <w:r w:rsidR="00D07217" w:rsidRPr="00D07217">
        <w:rPr>
          <w:color w:val="FF0000"/>
          <w:sz w:val="24"/>
          <w:szCs w:val="24"/>
        </w:rPr>
        <w:t>……….</w:t>
      </w:r>
      <w:r w:rsidR="005A2475" w:rsidRPr="00D07217">
        <w:rPr>
          <w:sz w:val="24"/>
          <w:szCs w:val="24"/>
        </w:rPr>
        <w:t xml:space="preserve"> </w:t>
      </w:r>
      <w:r w:rsidR="005A2475" w:rsidRPr="00373AC2">
        <w:rPr>
          <w:sz w:val="24"/>
          <w:szCs w:val="24"/>
        </w:rPr>
        <w:t>byly dodány vědecko-technické informace a mate</w:t>
      </w:r>
      <w:r w:rsidR="00972326" w:rsidRPr="00373AC2">
        <w:rPr>
          <w:sz w:val="24"/>
          <w:szCs w:val="24"/>
        </w:rPr>
        <w:t>riály na základě jejich potřeb a sjednaných smluv.</w:t>
      </w:r>
      <w:r w:rsidR="00403866">
        <w:rPr>
          <w:sz w:val="24"/>
          <w:szCs w:val="24"/>
        </w:rPr>
        <w:t xml:space="preserve"> </w:t>
      </w:r>
    </w:p>
    <w:p w:rsidR="005A2475" w:rsidRPr="00373AC2" w:rsidRDefault="005A2475" w:rsidP="00373AC2">
      <w:pPr>
        <w:spacing w:line="360" w:lineRule="auto"/>
        <w:jc w:val="both"/>
        <w:rPr>
          <w:sz w:val="22"/>
          <w:szCs w:val="22"/>
        </w:rPr>
      </w:pPr>
    </w:p>
    <w:p w:rsidR="005A2475" w:rsidRPr="00403866" w:rsidRDefault="005A2475" w:rsidP="00403866">
      <w:pPr>
        <w:spacing w:line="360" w:lineRule="auto"/>
        <w:jc w:val="both"/>
        <w:rPr>
          <w:b/>
          <w:sz w:val="24"/>
          <w:szCs w:val="24"/>
        </w:rPr>
      </w:pPr>
      <w:r w:rsidRPr="00403866">
        <w:rPr>
          <w:b/>
          <w:sz w:val="24"/>
          <w:szCs w:val="24"/>
        </w:rPr>
        <w:t>V</w:t>
      </w:r>
      <w:r w:rsidR="00DC308B">
        <w:rPr>
          <w:b/>
          <w:sz w:val="24"/>
          <w:szCs w:val="24"/>
        </w:rPr>
        <w:t> období 2015</w:t>
      </w:r>
      <w:r w:rsidR="00BF46E0">
        <w:rPr>
          <w:b/>
          <w:sz w:val="24"/>
          <w:szCs w:val="24"/>
        </w:rPr>
        <w:t>/</w:t>
      </w:r>
      <w:r w:rsidR="00DC308B">
        <w:rPr>
          <w:b/>
          <w:sz w:val="24"/>
          <w:szCs w:val="24"/>
        </w:rPr>
        <w:t>2016</w:t>
      </w:r>
      <w:r w:rsidRPr="00403866">
        <w:rPr>
          <w:b/>
          <w:sz w:val="24"/>
          <w:szCs w:val="24"/>
        </w:rPr>
        <w:t xml:space="preserve"> </w:t>
      </w:r>
      <w:r w:rsidR="00403866" w:rsidRPr="00403866">
        <w:rPr>
          <w:b/>
          <w:sz w:val="24"/>
          <w:szCs w:val="24"/>
        </w:rPr>
        <w:t xml:space="preserve">pokračovalo </w:t>
      </w:r>
      <w:r w:rsidRPr="00403866">
        <w:rPr>
          <w:b/>
          <w:sz w:val="24"/>
          <w:szCs w:val="24"/>
        </w:rPr>
        <w:t>řešení úkolů:</w:t>
      </w:r>
    </w:p>
    <w:p w:rsidR="005A2475" w:rsidRPr="00403866" w:rsidRDefault="005A2475" w:rsidP="00403866">
      <w:pPr>
        <w:spacing w:line="360" w:lineRule="auto"/>
        <w:jc w:val="both"/>
        <w:rPr>
          <w:sz w:val="24"/>
          <w:szCs w:val="24"/>
        </w:rPr>
      </w:pPr>
    </w:p>
    <w:p w:rsidR="002D794D" w:rsidRPr="00DC308B" w:rsidRDefault="005A2475" w:rsidP="00403866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DC308B">
        <w:rPr>
          <w:color w:val="FF0000"/>
          <w:sz w:val="24"/>
          <w:szCs w:val="24"/>
        </w:rPr>
        <w:t>Zvýšení environmentální bezpečnosti prevencí zneužití průmyslových</w:t>
      </w:r>
      <w:r w:rsidR="00BF46E0" w:rsidRPr="00DC308B">
        <w:rPr>
          <w:color w:val="FF0000"/>
          <w:sz w:val="24"/>
          <w:szCs w:val="24"/>
        </w:rPr>
        <w:t xml:space="preserve"> chemických látek k terorismu.</w:t>
      </w:r>
    </w:p>
    <w:p w:rsidR="005A2475" w:rsidRPr="00DC308B" w:rsidRDefault="005A2475" w:rsidP="00403866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DC308B">
        <w:rPr>
          <w:color w:val="FF0000"/>
          <w:sz w:val="24"/>
          <w:szCs w:val="24"/>
        </w:rPr>
        <w:t xml:space="preserve">Critical Infrastructure Protection </w:t>
      </w:r>
      <w:r w:rsidR="00BF46E0" w:rsidRPr="00DC308B">
        <w:rPr>
          <w:color w:val="FF0000"/>
          <w:sz w:val="24"/>
          <w:szCs w:val="24"/>
        </w:rPr>
        <w:t xml:space="preserve">Against Chemicals Attack </w:t>
      </w:r>
    </w:p>
    <w:p w:rsidR="00AE0FAD" w:rsidRPr="00DC308B" w:rsidRDefault="00AE0FAD" w:rsidP="00403866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DC308B">
        <w:rPr>
          <w:color w:val="FF0000"/>
          <w:sz w:val="24"/>
          <w:szCs w:val="24"/>
        </w:rPr>
        <w:t>Aktualizace KP MŽP a Koncepce environmentální bezpečnosti.</w:t>
      </w:r>
    </w:p>
    <w:p w:rsidR="00BF46E0" w:rsidRPr="00DC308B" w:rsidRDefault="00BF46E0" w:rsidP="00403866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DC308B">
        <w:rPr>
          <w:color w:val="FF0000"/>
          <w:sz w:val="24"/>
          <w:szCs w:val="24"/>
        </w:rPr>
        <w:t>Příprava projektu s Ústeckým krajem v rámci přeshraniční spolupráce ČR – Sasko</w:t>
      </w:r>
    </w:p>
    <w:p w:rsidR="00BF46E0" w:rsidRPr="00DC308B" w:rsidRDefault="00BF46E0" w:rsidP="00403866">
      <w:pPr>
        <w:numPr>
          <w:ilvl w:val="0"/>
          <w:numId w:val="7"/>
        </w:numPr>
        <w:spacing w:line="360" w:lineRule="auto"/>
        <w:jc w:val="both"/>
        <w:rPr>
          <w:color w:val="FF0000"/>
          <w:sz w:val="24"/>
          <w:szCs w:val="24"/>
        </w:rPr>
      </w:pPr>
      <w:r w:rsidRPr="00DC308B">
        <w:rPr>
          <w:color w:val="FF0000"/>
          <w:sz w:val="24"/>
          <w:szCs w:val="24"/>
        </w:rPr>
        <w:t>Podání pr</w:t>
      </w:r>
      <w:r w:rsidR="00D07217">
        <w:rPr>
          <w:color w:val="FF0000"/>
          <w:sz w:val="24"/>
          <w:szCs w:val="24"/>
        </w:rPr>
        <w:t xml:space="preserve">ojektových žádostí v roce </w:t>
      </w:r>
      <w:r w:rsidR="00DC308B" w:rsidRPr="00DC308B">
        <w:rPr>
          <w:color w:val="FF0000"/>
          <w:sz w:val="24"/>
          <w:szCs w:val="24"/>
        </w:rPr>
        <w:t>2015, 2016</w:t>
      </w:r>
    </w:p>
    <w:p w:rsidR="002D794D" w:rsidRPr="00E36F42" w:rsidRDefault="002D794D" w:rsidP="00585EF3">
      <w:pPr>
        <w:spacing w:line="276" w:lineRule="auto"/>
        <w:jc w:val="both"/>
        <w:rPr>
          <w:rFonts w:ascii="Georgia" w:hAnsi="Georgia"/>
          <w:sz w:val="24"/>
          <w:szCs w:val="24"/>
        </w:rPr>
      </w:pPr>
    </w:p>
    <w:p w:rsidR="002D794D" w:rsidRPr="00BF46E0" w:rsidRDefault="00BF46E0" w:rsidP="00403866">
      <w:pPr>
        <w:spacing w:line="360" w:lineRule="auto"/>
        <w:jc w:val="both"/>
        <w:rPr>
          <w:b/>
          <w:sz w:val="24"/>
          <w:szCs w:val="24"/>
        </w:rPr>
      </w:pPr>
      <w:r w:rsidRPr="00BF46E0">
        <w:rPr>
          <w:sz w:val="24"/>
          <w:szCs w:val="24"/>
        </w:rPr>
        <w:t>D</w:t>
      </w:r>
      <w:r w:rsidR="003D1B08" w:rsidRPr="00BF46E0">
        <w:rPr>
          <w:sz w:val="24"/>
          <w:szCs w:val="24"/>
        </w:rPr>
        <w:t xml:space="preserve">ále rozvíjeny </w:t>
      </w:r>
      <w:r w:rsidRPr="00BF46E0">
        <w:rPr>
          <w:sz w:val="24"/>
          <w:szCs w:val="24"/>
        </w:rPr>
        <w:t>i vnitřní programy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b</w:t>
      </w:r>
      <w:r w:rsidR="002D794D" w:rsidRPr="00403866">
        <w:rPr>
          <w:sz w:val="24"/>
          <w:szCs w:val="24"/>
        </w:rPr>
        <w:t>ezpečnostní výzkum s cílem dosáhnout uznání bezpečnost</w:t>
      </w:r>
      <w:r>
        <w:rPr>
          <w:sz w:val="24"/>
          <w:szCs w:val="24"/>
        </w:rPr>
        <w:t>ní vědy jako vědecké disciplíny, v</w:t>
      </w:r>
      <w:r w:rsidR="002D794D" w:rsidRPr="00403866">
        <w:rPr>
          <w:sz w:val="24"/>
          <w:szCs w:val="24"/>
        </w:rPr>
        <w:t xml:space="preserve">ýzkum podmínek ovlivňujících postavení politické </w:t>
      </w:r>
      <w:r w:rsidR="003D1B08" w:rsidRPr="00403866">
        <w:rPr>
          <w:sz w:val="24"/>
          <w:szCs w:val="24"/>
        </w:rPr>
        <w:t xml:space="preserve">a ekonomické přítomnosti ČR na </w:t>
      </w:r>
      <w:r w:rsidR="002D794D" w:rsidRPr="00403866">
        <w:rPr>
          <w:sz w:val="24"/>
          <w:szCs w:val="24"/>
        </w:rPr>
        <w:t>Balkánu a Ukrajině s ohled</w:t>
      </w:r>
      <w:r>
        <w:rPr>
          <w:sz w:val="24"/>
          <w:szCs w:val="24"/>
        </w:rPr>
        <w:t>em na zapojení do EU, v</w:t>
      </w:r>
      <w:r w:rsidR="002D794D" w:rsidRPr="00403866">
        <w:rPr>
          <w:sz w:val="24"/>
          <w:szCs w:val="24"/>
        </w:rPr>
        <w:t>ýzkum v ob</w:t>
      </w:r>
      <w:r>
        <w:rPr>
          <w:sz w:val="24"/>
          <w:szCs w:val="24"/>
        </w:rPr>
        <w:t xml:space="preserve">lasti materiálového inženýrství, </w:t>
      </w:r>
      <w:r w:rsidR="002D794D" w:rsidRPr="00403866">
        <w:rPr>
          <w:sz w:val="24"/>
          <w:szCs w:val="24"/>
        </w:rPr>
        <w:t>Výzkum zaměřený do oblasti vzdělávání, osvěty a humanitární pomoci.</w:t>
      </w: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DB7EE0" w:rsidRDefault="00DB7EE0" w:rsidP="002B7460">
      <w:pPr>
        <w:spacing w:line="276" w:lineRule="auto"/>
        <w:ind w:firstLine="708"/>
        <w:jc w:val="both"/>
        <w:rPr>
          <w:rFonts w:ascii="Georgia" w:hAnsi="Georgia"/>
          <w:sz w:val="24"/>
        </w:rPr>
      </w:pPr>
    </w:p>
    <w:p w:rsidR="002B7460" w:rsidRDefault="002B7460" w:rsidP="002B7460">
      <w:pPr>
        <w:spacing w:line="276" w:lineRule="auto"/>
        <w:ind w:firstLine="708"/>
        <w:jc w:val="both"/>
        <w:rPr>
          <w:rFonts w:ascii="Georgia" w:hAnsi="Georgia"/>
          <w:sz w:val="24"/>
        </w:rPr>
      </w:pPr>
    </w:p>
    <w:p w:rsidR="00DB7EE0" w:rsidRPr="00585EF3" w:rsidRDefault="00DB7EE0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F46E0" w:rsidRDefault="002D794D" w:rsidP="00BF46E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F46E0">
        <w:rPr>
          <w:b/>
          <w:sz w:val="28"/>
          <w:szCs w:val="28"/>
        </w:rPr>
        <w:t>LIDSKÉ ZDROJE</w:t>
      </w:r>
    </w:p>
    <w:p w:rsidR="002D794D" w:rsidRPr="00BF46E0" w:rsidRDefault="002D794D" w:rsidP="00585EF3">
      <w:pPr>
        <w:spacing w:line="276" w:lineRule="auto"/>
        <w:jc w:val="both"/>
        <w:rPr>
          <w:sz w:val="24"/>
        </w:rPr>
      </w:pPr>
    </w:p>
    <w:p w:rsidR="002D794D" w:rsidRPr="00DB7EE0" w:rsidRDefault="002D794D" w:rsidP="00BF46E0">
      <w:pPr>
        <w:spacing w:line="360" w:lineRule="auto"/>
        <w:jc w:val="both"/>
        <w:rPr>
          <w:sz w:val="24"/>
          <w:szCs w:val="24"/>
        </w:rPr>
      </w:pPr>
      <w:r w:rsidRPr="00DB7EE0">
        <w:rPr>
          <w:sz w:val="24"/>
          <w:szCs w:val="24"/>
        </w:rPr>
        <w:t xml:space="preserve">V uváděném období zaměstnávala AKADEMIE, o. p. s. </w:t>
      </w:r>
      <w:r w:rsidR="00972326" w:rsidRPr="00DC308B">
        <w:rPr>
          <w:color w:val="FF0000"/>
          <w:sz w:val="24"/>
          <w:szCs w:val="24"/>
        </w:rPr>
        <w:t>d</w:t>
      </w:r>
      <w:r w:rsidR="00BF46E0" w:rsidRPr="00DC308B">
        <w:rPr>
          <w:color w:val="FF0000"/>
          <w:sz w:val="24"/>
          <w:szCs w:val="24"/>
        </w:rPr>
        <w:t>o 15</w:t>
      </w:r>
      <w:r w:rsidRPr="00DC308B">
        <w:rPr>
          <w:color w:val="FF0000"/>
          <w:sz w:val="24"/>
          <w:szCs w:val="24"/>
        </w:rPr>
        <w:t xml:space="preserve"> </w:t>
      </w:r>
      <w:r w:rsidRPr="00DB7EE0">
        <w:rPr>
          <w:sz w:val="24"/>
          <w:szCs w:val="24"/>
        </w:rPr>
        <w:t xml:space="preserve">pracovníků na základě pracovních smluv, dohod o pracovní činnosti a dohod o provedení práce. </w:t>
      </w:r>
      <w:r w:rsidR="00972326" w:rsidRPr="00DB7EE0">
        <w:rPr>
          <w:sz w:val="24"/>
          <w:szCs w:val="24"/>
        </w:rPr>
        <w:t xml:space="preserve">Ke </w:t>
      </w:r>
      <w:r w:rsidR="005E4644" w:rsidRPr="00DB7EE0">
        <w:rPr>
          <w:sz w:val="24"/>
          <w:szCs w:val="24"/>
        </w:rPr>
        <w:t xml:space="preserve">konci </w:t>
      </w:r>
      <w:r w:rsidR="00DC308B">
        <w:rPr>
          <w:sz w:val="24"/>
          <w:szCs w:val="24"/>
        </w:rPr>
        <w:t>1. pololetí 2016</w:t>
      </w:r>
      <w:r w:rsidR="005E4644" w:rsidRPr="00DB7EE0">
        <w:rPr>
          <w:sz w:val="24"/>
          <w:szCs w:val="24"/>
        </w:rPr>
        <w:t xml:space="preserve"> měla společnost</w:t>
      </w:r>
      <w:r w:rsidR="00BF46E0" w:rsidRPr="00DB7EE0">
        <w:rPr>
          <w:sz w:val="24"/>
          <w:szCs w:val="24"/>
        </w:rPr>
        <w:t xml:space="preserve"> celkem </w:t>
      </w:r>
      <w:r w:rsidR="00BF46E0" w:rsidRPr="00DC308B">
        <w:rPr>
          <w:color w:val="FF0000"/>
          <w:sz w:val="24"/>
          <w:szCs w:val="24"/>
        </w:rPr>
        <w:t>10</w:t>
      </w:r>
      <w:r w:rsidR="002142A5" w:rsidRPr="00DC308B">
        <w:rPr>
          <w:color w:val="FF0000"/>
          <w:sz w:val="24"/>
          <w:szCs w:val="24"/>
        </w:rPr>
        <w:t xml:space="preserve"> pracovníků</w:t>
      </w:r>
      <w:r w:rsidR="000F3CBD" w:rsidRPr="00DB7EE0">
        <w:rPr>
          <w:sz w:val="24"/>
          <w:szCs w:val="24"/>
        </w:rPr>
        <w:t>.</w:t>
      </w:r>
      <w:r w:rsidR="00C32009" w:rsidRPr="00DB7EE0">
        <w:rPr>
          <w:sz w:val="24"/>
          <w:szCs w:val="24"/>
        </w:rPr>
        <w:t xml:space="preserve"> </w:t>
      </w:r>
      <w:r w:rsidRPr="00DB7EE0">
        <w:rPr>
          <w:sz w:val="24"/>
          <w:szCs w:val="24"/>
        </w:rPr>
        <w:t>Personální zdroje společnosti jsou stabilizovány a systematicky rozvíjeny ve vztahu k prováděným činnostem v oblasti vědy a výzkumu. Probíhá jejich vzdělávání, kurzy, semináře, konference, samostu</w:t>
      </w:r>
      <w:r w:rsidR="00C32009" w:rsidRPr="00DB7EE0">
        <w:rPr>
          <w:sz w:val="24"/>
          <w:szCs w:val="24"/>
        </w:rPr>
        <w:t>dium v oblastech KM, práva</w:t>
      </w:r>
      <w:r w:rsidRPr="00DB7EE0">
        <w:rPr>
          <w:sz w:val="24"/>
          <w:szCs w:val="24"/>
        </w:rPr>
        <w:t>, ekonomie</w:t>
      </w:r>
      <w:r w:rsidR="00C32009" w:rsidRPr="00DB7EE0">
        <w:rPr>
          <w:sz w:val="24"/>
          <w:szCs w:val="24"/>
        </w:rPr>
        <w:t>, apod</w:t>
      </w:r>
      <w:r w:rsidRPr="00DB7EE0">
        <w:rPr>
          <w:sz w:val="24"/>
          <w:szCs w:val="24"/>
        </w:rPr>
        <w:t>.</w:t>
      </w:r>
    </w:p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F21E65" w:rsidRPr="00585EF3" w:rsidRDefault="00F21E65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F46E0" w:rsidRDefault="002D794D" w:rsidP="00BF46E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F46E0">
        <w:rPr>
          <w:b/>
          <w:bCs/>
          <w:caps/>
          <w:sz w:val="28"/>
          <w:szCs w:val="28"/>
        </w:rPr>
        <w:t>Přehled rozsahu příjmů v členění podle zdrojů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DB7EE0" w:rsidRDefault="002D794D" w:rsidP="00BF46E0">
      <w:pPr>
        <w:spacing w:line="360" w:lineRule="auto"/>
        <w:jc w:val="both"/>
        <w:rPr>
          <w:sz w:val="24"/>
          <w:szCs w:val="24"/>
        </w:rPr>
      </w:pPr>
      <w:r w:rsidRPr="00DB7EE0">
        <w:rPr>
          <w:sz w:val="24"/>
          <w:szCs w:val="24"/>
        </w:rPr>
        <w:t>Příjmy AKADEMIE o.p.s. byly v období 201</w:t>
      </w:r>
      <w:r w:rsidR="00DC308B">
        <w:rPr>
          <w:sz w:val="24"/>
          <w:szCs w:val="24"/>
        </w:rPr>
        <w:t>5</w:t>
      </w:r>
      <w:r w:rsidRPr="00DB7EE0">
        <w:rPr>
          <w:sz w:val="24"/>
          <w:szCs w:val="24"/>
        </w:rPr>
        <w:t>/201</w:t>
      </w:r>
      <w:r w:rsidR="00DC308B">
        <w:rPr>
          <w:sz w:val="24"/>
          <w:szCs w:val="24"/>
        </w:rPr>
        <w:t>6</w:t>
      </w:r>
      <w:r w:rsidRPr="00DB7EE0">
        <w:rPr>
          <w:sz w:val="24"/>
          <w:szCs w:val="24"/>
        </w:rPr>
        <w:t xml:space="preserve"> tvořeny platbami smluvních partnerů za prováděnou konzultační činnost převážně k výzkumu, vědeckovýzkumné práce a finanč</w:t>
      </w:r>
      <w:r w:rsidR="00BF46E0" w:rsidRPr="00DB7EE0">
        <w:rPr>
          <w:sz w:val="24"/>
          <w:szCs w:val="24"/>
        </w:rPr>
        <w:t xml:space="preserve">ními prostředky </w:t>
      </w:r>
      <w:r w:rsidR="00BE7A10" w:rsidRPr="00DB7EE0">
        <w:rPr>
          <w:sz w:val="24"/>
          <w:szCs w:val="24"/>
        </w:rPr>
        <w:t>získané</w:t>
      </w:r>
      <w:r w:rsidR="00BF46E0" w:rsidRPr="00DB7EE0">
        <w:rPr>
          <w:sz w:val="24"/>
          <w:szCs w:val="24"/>
        </w:rPr>
        <w:t xml:space="preserve"> na</w:t>
      </w:r>
      <w:r w:rsidR="00F21E65" w:rsidRPr="00DB7EE0">
        <w:rPr>
          <w:sz w:val="24"/>
          <w:szCs w:val="24"/>
        </w:rPr>
        <w:t xml:space="preserve"> řešení výzkumných úkolů</w:t>
      </w:r>
      <w:r w:rsidRPr="00DB7EE0">
        <w:rPr>
          <w:sz w:val="24"/>
          <w:szCs w:val="24"/>
        </w:rPr>
        <w:t>. Kvantitativní členění je v následujících tabulkách a v příloze v Daňovém přiznání, Výkazu zisku a ztrát a Rozvaze.</w:t>
      </w:r>
    </w:p>
    <w:p w:rsidR="003D1B08" w:rsidRPr="00585EF3" w:rsidRDefault="003D1B08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 xml:space="preserve">Údaje z rozvahy 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1134"/>
        <w:gridCol w:w="3118"/>
        <w:gridCol w:w="1062"/>
      </w:tblGrid>
      <w:tr w:rsidR="00FE2D1D" w:rsidRPr="00831FE8" w:rsidTr="002142A5">
        <w:tc>
          <w:tcPr>
            <w:tcW w:w="3898" w:type="dxa"/>
            <w:shd w:val="clear" w:color="auto" w:fill="D9D9D9" w:themeFill="background1" w:themeFillShade="D9"/>
          </w:tcPr>
          <w:p w:rsidR="002D794D" w:rsidRPr="00831FE8" w:rsidRDefault="002D794D" w:rsidP="00DB7EE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D794D" w:rsidRPr="00831FE8" w:rsidRDefault="002D794D" w:rsidP="00DB7EE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>Hodnota v tis.</w:t>
            </w:r>
            <w:r w:rsidR="00FE2D1D" w:rsidRPr="00831FE8">
              <w:rPr>
                <w:b/>
                <w:sz w:val="22"/>
                <w:szCs w:val="22"/>
              </w:rPr>
              <w:t xml:space="preserve"> </w:t>
            </w:r>
            <w:r w:rsidR="003D1B08" w:rsidRPr="00831FE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2D794D" w:rsidRPr="00831FE8" w:rsidRDefault="002D794D" w:rsidP="00DB7EE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2D794D" w:rsidRPr="00831FE8" w:rsidRDefault="002D794D" w:rsidP="00DB7EE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>Hodnota v tis.</w:t>
            </w:r>
            <w:r w:rsidR="003D1B08" w:rsidRPr="00831FE8">
              <w:rPr>
                <w:b/>
                <w:sz w:val="22"/>
                <w:szCs w:val="22"/>
              </w:rPr>
              <w:t xml:space="preserve"> Kč</w:t>
            </w:r>
          </w:p>
        </w:tc>
      </w:tr>
      <w:tr w:rsidR="00FE2D1D" w:rsidRPr="00831FE8" w:rsidTr="007E6200">
        <w:tc>
          <w:tcPr>
            <w:tcW w:w="3898" w:type="dxa"/>
          </w:tcPr>
          <w:p w:rsidR="002D794D" w:rsidRPr="00831FE8" w:rsidRDefault="002D794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AKTIVA celkem</w:t>
            </w:r>
          </w:p>
        </w:tc>
        <w:tc>
          <w:tcPr>
            <w:tcW w:w="1134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5959</w:t>
            </w:r>
          </w:p>
        </w:tc>
        <w:tc>
          <w:tcPr>
            <w:tcW w:w="3118" w:type="dxa"/>
          </w:tcPr>
          <w:p w:rsidR="002D794D" w:rsidRPr="00831FE8" w:rsidRDefault="002D794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PASIVA celkem</w:t>
            </w:r>
          </w:p>
        </w:tc>
        <w:tc>
          <w:tcPr>
            <w:tcW w:w="1062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5959</w:t>
            </w:r>
          </w:p>
        </w:tc>
      </w:tr>
      <w:tr w:rsidR="00FE2D1D" w:rsidRPr="00831FE8" w:rsidTr="007E6200">
        <w:tc>
          <w:tcPr>
            <w:tcW w:w="3898" w:type="dxa"/>
          </w:tcPr>
          <w:p w:rsidR="002D794D" w:rsidRPr="00831FE8" w:rsidRDefault="00FE2D1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 xml:space="preserve">Dlouhodobý </w:t>
            </w:r>
            <w:r w:rsidR="002D794D" w:rsidRPr="00831FE8">
              <w:rPr>
                <w:sz w:val="22"/>
                <w:szCs w:val="22"/>
              </w:rPr>
              <w:t>majetek celkem</w:t>
            </w:r>
          </w:p>
        </w:tc>
        <w:tc>
          <w:tcPr>
            <w:tcW w:w="1134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745</w:t>
            </w:r>
          </w:p>
        </w:tc>
        <w:tc>
          <w:tcPr>
            <w:tcW w:w="3118" w:type="dxa"/>
          </w:tcPr>
          <w:p w:rsidR="002D794D" w:rsidRPr="00831FE8" w:rsidRDefault="00FE2D1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Cizí zdroje celkem</w:t>
            </w:r>
          </w:p>
        </w:tc>
        <w:tc>
          <w:tcPr>
            <w:tcW w:w="1062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1789</w:t>
            </w:r>
          </w:p>
        </w:tc>
      </w:tr>
      <w:tr w:rsidR="00FE2D1D" w:rsidRPr="00831FE8" w:rsidTr="007E6200">
        <w:tc>
          <w:tcPr>
            <w:tcW w:w="3898" w:type="dxa"/>
          </w:tcPr>
          <w:p w:rsidR="002D794D" w:rsidRPr="00831FE8" w:rsidRDefault="00FE2D1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Krátkodobý majetek celkem</w:t>
            </w:r>
          </w:p>
        </w:tc>
        <w:tc>
          <w:tcPr>
            <w:tcW w:w="1134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5214</w:t>
            </w:r>
          </w:p>
        </w:tc>
        <w:tc>
          <w:tcPr>
            <w:tcW w:w="3118" w:type="dxa"/>
          </w:tcPr>
          <w:p w:rsidR="002D794D" w:rsidRPr="00831FE8" w:rsidRDefault="00FE2D1D" w:rsidP="00DB7E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Vlastní zdroje celkem</w:t>
            </w:r>
          </w:p>
        </w:tc>
        <w:tc>
          <w:tcPr>
            <w:tcW w:w="1062" w:type="dxa"/>
          </w:tcPr>
          <w:p w:rsidR="002D794D" w:rsidRPr="00DC308B" w:rsidRDefault="00FE2D1D" w:rsidP="00DB7E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4170</w:t>
            </w:r>
          </w:p>
        </w:tc>
      </w:tr>
    </w:tbl>
    <w:p w:rsidR="00DB7EE0" w:rsidRDefault="00DB7EE0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BE7A10" w:rsidRPr="00585EF3" w:rsidRDefault="00BE7A10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>údaje z výkazu zisků a ztrát</w:t>
      </w:r>
    </w:p>
    <w:p w:rsidR="002D794D" w:rsidRPr="00BE7A10" w:rsidRDefault="002D794D" w:rsidP="00585EF3">
      <w:pPr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2835"/>
      </w:tblGrid>
      <w:tr w:rsidR="002D794D" w:rsidRPr="00831FE8" w:rsidTr="002142A5">
        <w:tc>
          <w:tcPr>
            <w:tcW w:w="6307" w:type="dxa"/>
            <w:shd w:val="clear" w:color="auto" w:fill="D9D9D9" w:themeFill="background1" w:themeFillShade="D9"/>
          </w:tcPr>
          <w:p w:rsidR="002D794D" w:rsidRPr="00831FE8" w:rsidRDefault="002D794D" w:rsidP="00585EF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>Položky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D794D" w:rsidRPr="00831FE8" w:rsidRDefault="00FE2D1D" w:rsidP="00DB7EE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31FE8">
              <w:rPr>
                <w:b/>
                <w:sz w:val="22"/>
                <w:szCs w:val="22"/>
              </w:rPr>
              <w:t xml:space="preserve">V tis. </w:t>
            </w:r>
            <w:r w:rsidR="00831FE8" w:rsidRPr="00831FE8">
              <w:rPr>
                <w:b/>
                <w:sz w:val="22"/>
                <w:szCs w:val="22"/>
              </w:rPr>
              <w:t>Kč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FE2D1D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Náklady celkem</w:t>
            </w:r>
          </w:p>
        </w:tc>
        <w:tc>
          <w:tcPr>
            <w:tcW w:w="2835" w:type="dxa"/>
          </w:tcPr>
          <w:p w:rsidR="002D794D" w:rsidRPr="00DC308B" w:rsidRDefault="00FE2D1D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27.552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FE2D1D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Výnosy celkem</w:t>
            </w:r>
          </w:p>
        </w:tc>
        <w:tc>
          <w:tcPr>
            <w:tcW w:w="2835" w:type="dxa"/>
          </w:tcPr>
          <w:p w:rsidR="002D794D" w:rsidRPr="00DC308B" w:rsidRDefault="00FE2D1D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28.360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FE2D1D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Osobní náklady celkem</w:t>
            </w:r>
          </w:p>
        </w:tc>
        <w:tc>
          <w:tcPr>
            <w:tcW w:w="2835" w:type="dxa"/>
          </w:tcPr>
          <w:p w:rsidR="002D794D" w:rsidRPr="00DC308B" w:rsidRDefault="00FE2D1D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3.081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831FE8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Ostatní náklady celkem</w:t>
            </w:r>
          </w:p>
        </w:tc>
        <w:tc>
          <w:tcPr>
            <w:tcW w:w="2835" w:type="dxa"/>
          </w:tcPr>
          <w:p w:rsidR="002D794D" w:rsidRPr="00DC308B" w:rsidRDefault="00831FE8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1.376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831FE8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Provozní dotace celkem</w:t>
            </w:r>
          </w:p>
        </w:tc>
        <w:tc>
          <w:tcPr>
            <w:tcW w:w="2835" w:type="dxa"/>
          </w:tcPr>
          <w:p w:rsidR="002D794D" w:rsidRPr="00DC308B" w:rsidRDefault="00831FE8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2.490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831FE8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Výsledek hospodaření před zdaněním</w:t>
            </w:r>
            <w:r w:rsidR="002D794D" w:rsidRPr="00831FE8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2835" w:type="dxa"/>
          </w:tcPr>
          <w:p w:rsidR="002D794D" w:rsidRPr="00DC308B" w:rsidRDefault="00831FE8" w:rsidP="00BE7A1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808</w:t>
            </w:r>
          </w:p>
        </w:tc>
      </w:tr>
      <w:tr w:rsidR="002D794D" w:rsidRPr="00831FE8" w:rsidTr="00D965A7">
        <w:tc>
          <w:tcPr>
            <w:tcW w:w="6307" w:type="dxa"/>
          </w:tcPr>
          <w:p w:rsidR="002D794D" w:rsidRPr="00831FE8" w:rsidRDefault="00831FE8" w:rsidP="00585E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31FE8">
              <w:rPr>
                <w:sz w:val="22"/>
                <w:szCs w:val="22"/>
              </w:rPr>
              <w:t>Výsledek hospodaření po zdanění</w:t>
            </w:r>
          </w:p>
        </w:tc>
        <w:tc>
          <w:tcPr>
            <w:tcW w:w="2835" w:type="dxa"/>
          </w:tcPr>
          <w:p w:rsidR="002D794D" w:rsidRPr="00DC308B" w:rsidRDefault="00831FE8" w:rsidP="00585E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308B">
              <w:rPr>
                <w:color w:val="FF0000"/>
                <w:sz w:val="22"/>
                <w:szCs w:val="22"/>
              </w:rPr>
              <w:t>808</w:t>
            </w:r>
          </w:p>
        </w:tc>
      </w:tr>
    </w:tbl>
    <w:p w:rsidR="002D794D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831FE8" w:rsidRPr="00585EF3" w:rsidRDefault="00831FE8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360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>Vývoj a konečný stav fondů</w:t>
      </w:r>
    </w:p>
    <w:p w:rsidR="002D794D" w:rsidRPr="00BE7A10" w:rsidRDefault="002D794D" w:rsidP="00BE7A10">
      <w:pPr>
        <w:spacing w:line="360" w:lineRule="auto"/>
        <w:ind w:left="360"/>
        <w:jc w:val="both"/>
        <w:rPr>
          <w:b/>
          <w:bCs/>
          <w:caps/>
          <w:sz w:val="24"/>
          <w:szCs w:val="24"/>
        </w:rPr>
      </w:pPr>
    </w:p>
    <w:p w:rsidR="002142A5" w:rsidRPr="00DB7EE0" w:rsidRDefault="002D794D" w:rsidP="00DB7EE0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BE7A10">
        <w:rPr>
          <w:sz w:val="24"/>
          <w:szCs w:val="24"/>
        </w:rPr>
        <w:t>V období 201</w:t>
      </w:r>
      <w:r w:rsidR="00DC308B">
        <w:rPr>
          <w:sz w:val="24"/>
          <w:szCs w:val="24"/>
        </w:rPr>
        <w:t>5</w:t>
      </w:r>
      <w:r w:rsidRPr="00BE7A10">
        <w:rPr>
          <w:sz w:val="24"/>
          <w:szCs w:val="24"/>
        </w:rPr>
        <w:t>/201</w:t>
      </w:r>
      <w:r w:rsidR="00DC308B">
        <w:rPr>
          <w:sz w:val="24"/>
          <w:szCs w:val="24"/>
        </w:rPr>
        <w:t>6</w:t>
      </w:r>
      <w:r w:rsidRPr="00BE7A10">
        <w:rPr>
          <w:sz w:val="24"/>
          <w:szCs w:val="24"/>
        </w:rPr>
        <w:t xml:space="preserve"> AKADEMIE o.p.s. neobdržela institucionální podporu formou státní dotace, </w:t>
      </w:r>
      <w:r w:rsidR="00F21E65" w:rsidRPr="00BE7A10">
        <w:rPr>
          <w:sz w:val="24"/>
          <w:szCs w:val="24"/>
        </w:rPr>
        <w:t>obdržela finanční prostředky na řešení vysoutěžených</w:t>
      </w:r>
      <w:r w:rsidR="007074FF" w:rsidRPr="00BE7A10">
        <w:rPr>
          <w:sz w:val="24"/>
          <w:szCs w:val="24"/>
        </w:rPr>
        <w:t xml:space="preserve"> úkolů </w:t>
      </w:r>
      <w:r w:rsidR="00F21E65" w:rsidRPr="00BE7A10">
        <w:rPr>
          <w:sz w:val="24"/>
          <w:szCs w:val="24"/>
        </w:rPr>
        <w:t>-</w:t>
      </w:r>
      <w:r w:rsidR="007074FF" w:rsidRPr="00BE7A10">
        <w:rPr>
          <w:sz w:val="24"/>
          <w:szCs w:val="24"/>
        </w:rPr>
        <w:t xml:space="preserve"> </w:t>
      </w:r>
      <w:r w:rsidR="007074FF" w:rsidRPr="00DC308B">
        <w:rPr>
          <w:color w:val="FF0000"/>
          <w:sz w:val="24"/>
          <w:szCs w:val="24"/>
        </w:rPr>
        <w:t>Prototyp, Zebeter, CIPAC</w:t>
      </w:r>
      <w:r w:rsidR="00F21E65" w:rsidRPr="00DC308B">
        <w:rPr>
          <w:color w:val="FF0000"/>
          <w:sz w:val="24"/>
          <w:szCs w:val="24"/>
        </w:rPr>
        <w:t>,</w:t>
      </w:r>
      <w:r w:rsidR="00D07217">
        <w:rPr>
          <w:color w:val="FF0000"/>
          <w:sz w:val="24"/>
          <w:szCs w:val="24"/>
        </w:rPr>
        <w:t>………</w:t>
      </w:r>
      <w:r w:rsidR="00F21E65" w:rsidRPr="00BE7A10">
        <w:rPr>
          <w:sz w:val="24"/>
          <w:szCs w:val="24"/>
        </w:rPr>
        <w:t xml:space="preserve"> společnost v daném období </w:t>
      </w:r>
      <w:r w:rsidRPr="00BE7A10">
        <w:rPr>
          <w:sz w:val="24"/>
          <w:szCs w:val="24"/>
        </w:rPr>
        <w:t xml:space="preserve">nedostala žádné dary. Ostatní příjmy byly tvořeny převážně </w:t>
      </w:r>
      <w:r w:rsidR="00F21E65" w:rsidRPr="00BE7A10">
        <w:rPr>
          <w:sz w:val="24"/>
          <w:szCs w:val="24"/>
        </w:rPr>
        <w:t>hospodářským výsledkem ze smluv a byly investovány do řešení vědeckých projektů a dalších úkolů vyplývajících z poslání společnosti. F</w:t>
      </w:r>
      <w:r w:rsidRPr="00BE7A10">
        <w:rPr>
          <w:sz w:val="24"/>
          <w:szCs w:val="24"/>
        </w:rPr>
        <w:t xml:space="preserve">inanční majetek </w:t>
      </w:r>
      <w:r w:rsidR="00F21E65" w:rsidRPr="00BE7A10">
        <w:rPr>
          <w:sz w:val="24"/>
          <w:szCs w:val="24"/>
        </w:rPr>
        <w:t xml:space="preserve">nebyl </w:t>
      </w:r>
      <w:r w:rsidRPr="00BE7A10">
        <w:rPr>
          <w:sz w:val="24"/>
          <w:szCs w:val="24"/>
        </w:rPr>
        <w:t>členěn do fondů.</w:t>
      </w:r>
    </w:p>
    <w:p w:rsidR="002142A5" w:rsidRPr="00585EF3" w:rsidRDefault="002142A5" w:rsidP="00585EF3">
      <w:pPr>
        <w:spacing w:line="276" w:lineRule="auto"/>
        <w:ind w:firstLine="360"/>
        <w:jc w:val="both"/>
        <w:rPr>
          <w:rFonts w:ascii="Georgia" w:hAnsi="Georgia"/>
          <w:sz w:val="22"/>
          <w:szCs w:val="22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bCs/>
          <w:caps/>
          <w:sz w:val="28"/>
          <w:szCs w:val="28"/>
        </w:rPr>
      </w:pPr>
      <w:r w:rsidRPr="00BE7A10">
        <w:rPr>
          <w:b/>
          <w:bCs/>
          <w:caps/>
          <w:sz w:val="28"/>
          <w:szCs w:val="28"/>
        </w:rPr>
        <w:t>Stav a pohyb majetku a závazků</w:t>
      </w:r>
    </w:p>
    <w:p w:rsidR="002D794D" w:rsidRPr="00BE7A10" w:rsidRDefault="002D794D" w:rsidP="00585EF3">
      <w:pPr>
        <w:spacing w:line="276" w:lineRule="auto"/>
        <w:jc w:val="both"/>
        <w:rPr>
          <w:sz w:val="24"/>
        </w:rPr>
      </w:pPr>
    </w:p>
    <w:p w:rsidR="002D794D" w:rsidRPr="00BE7A10" w:rsidRDefault="002D794D" w:rsidP="00585EF3">
      <w:pPr>
        <w:spacing w:line="276" w:lineRule="auto"/>
        <w:jc w:val="both"/>
        <w:rPr>
          <w:sz w:val="24"/>
        </w:rPr>
      </w:pPr>
      <w:r w:rsidRPr="00BE7A10">
        <w:rPr>
          <w:sz w:val="24"/>
        </w:rPr>
        <w:t>Akademie o.p.s. vlastní tento majetek:</w:t>
      </w:r>
    </w:p>
    <w:p w:rsidR="002D794D" w:rsidRPr="00BE7A10" w:rsidRDefault="002D794D" w:rsidP="00585EF3">
      <w:pPr>
        <w:spacing w:line="276" w:lineRule="auto"/>
        <w:jc w:val="both"/>
        <w:rPr>
          <w:sz w:val="24"/>
        </w:rPr>
      </w:pPr>
    </w:p>
    <w:p w:rsidR="002D794D" w:rsidRPr="00DC308B" w:rsidRDefault="002D794D" w:rsidP="00585EF3">
      <w:pPr>
        <w:spacing w:line="276" w:lineRule="auto"/>
        <w:jc w:val="both"/>
        <w:rPr>
          <w:strike/>
          <w:sz w:val="24"/>
        </w:rPr>
      </w:pPr>
      <w:r w:rsidRPr="00DC308B">
        <w:rPr>
          <w:color w:val="FF0000"/>
          <w:sz w:val="24"/>
        </w:rPr>
        <w:t>4 PC, 4 notebook, 3x tiskárna, kopírka, telefon, zá</w:t>
      </w:r>
      <w:r w:rsidR="007074FF" w:rsidRPr="00DC308B">
        <w:rPr>
          <w:color w:val="FF0000"/>
          <w:sz w:val="24"/>
        </w:rPr>
        <w:t>znamník, fax</w:t>
      </w:r>
      <w:r w:rsidR="00BE7A10" w:rsidRPr="00DC308B">
        <w:rPr>
          <w:color w:val="FF0000"/>
          <w:sz w:val="24"/>
        </w:rPr>
        <w:t>,</w:t>
      </w:r>
      <w:r w:rsidR="00D07217">
        <w:rPr>
          <w:color w:val="FF0000"/>
          <w:sz w:val="24"/>
        </w:rPr>
        <w:t>…….</w:t>
      </w:r>
      <w:r w:rsidR="00BE7A10" w:rsidRPr="00DC308B">
        <w:rPr>
          <w:color w:val="FF0000"/>
          <w:sz w:val="24"/>
        </w:rPr>
        <w:t xml:space="preserve"> </w:t>
      </w:r>
      <w:r w:rsidR="00BE7A10" w:rsidRPr="00DC308B">
        <w:rPr>
          <w:strike/>
          <w:sz w:val="24"/>
        </w:rPr>
        <w:t>osobní automobil</w:t>
      </w:r>
      <w:r w:rsidR="007074FF" w:rsidRPr="00DC308B">
        <w:rPr>
          <w:strike/>
          <w:sz w:val="24"/>
        </w:rPr>
        <w:t>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E36F42" w:rsidRPr="00585EF3" w:rsidRDefault="00E36F42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ind w:left="357"/>
        <w:jc w:val="both"/>
        <w:rPr>
          <w:b/>
          <w:caps/>
          <w:sz w:val="28"/>
          <w:szCs w:val="28"/>
        </w:rPr>
      </w:pPr>
      <w:r w:rsidRPr="00BE7A10">
        <w:rPr>
          <w:b/>
          <w:caps/>
          <w:sz w:val="28"/>
          <w:szCs w:val="28"/>
        </w:rPr>
        <w:t>Náklady na plnění obecně prospěšných služeb</w:t>
      </w:r>
    </w:p>
    <w:p w:rsidR="002D794D" w:rsidRPr="00BE7A10" w:rsidRDefault="002D794D" w:rsidP="00585EF3">
      <w:pPr>
        <w:spacing w:line="276" w:lineRule="auto"/>
        <w:ind w:left="357"/>
        <w:jc w:val="both"/>
        <w:rPr>
          <w:b/>
          <w:caps/>
          <w:sz w:val="24"/>
          <w:szCs w:val="24"/>
        </w:rPr>
      </w:pPr>
    </w:p>
    <w:p w:rsidR="002D794D" w:rsidRPr="00BE7A10" w:rsidRDefault="00C32009" w:rsidP="00BE7A10">
      <w:pPr>
        <w:spacing w:line="360" w:lineRule="auto"/>
        <w:ind w:left="-3" w:firstLine="3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N</w:t>
      </w:r>
      <w:r w:rsidR="002D794D" w:rsidRPr="00BE7A10">
        <w:rPr>
          <w:sz w:val="24"/>
          <w:szCs w:val="24"/>
        </w:rPr>
        <w:t>ázvy jednotlivých podúčtů tak jak jsou v této zprávě uváděny, vychází z normativů pro neziskové organizace a podvojné účetnictví. Takže např. v nákladech na reprezentaci se skrývají výdaje na občerstvení na pořádaných kolokviích, konferencích, výstavách apod. Akademie o.p.s. neměla jiné náklady, než náklady spojené s plněním svého cíle – tedy plnění obecně prospěšných služeb v oblasti výzkumu a vývoje.</w:t>
      </w:r>
    </w:p>
    <w:p w:rsidR="002D794D" w:rsidRPr="00585EF3" w:rsidRDefault="002D794D" w:rsidP="00585EF3">
      <w:pPr>
        <w:spacing w:after="360" w:line="276" w:lineRule="auto"/>
        <w:jc w:val="both"/>
        <w:rPr>
          <w:rFonts w:ascii="Georgia" w:hAnsi="Georgia"/>
          <w:sz w:val="24"/>
        </w:rPr>
      </w:pPr>
    </w:p>
    <w:p w:rsidR="002D794D" w:rsidRPr="00BE7A10" w:rsidRDefault="002D794D" w:rsidP="00BE7A10">
      <w:pPr>
        <w:spacing w:after="360" w:line="360" w:lineRule="auto"/>
        <w:jc w:val="both"/>
        <w:rPr>
          <w:sz w:val="24"/>
        </w:rPr>
      </w:pPr>
      <w:r w:rsidRPr="00BE7A10">
        <w:rPr>
          <w:b/>
          <w:i/>
          <w:sz w:val="24"/>
        </w:rPr>
        <w:t>9.1</w:t>
      </w:r>
      <w:r w:rsidRPr="00BE7A10">
        <w:rPr>
          <w:sz w:val="24"/>
        </w:rPr>
        <w:t xml:space="preserve"> </w:t>
      </w:r>
      <w:r w:rsidRPr="00BE7A10">
        <w:rPr>
          <w:b/>
          <w:i/>
          <w:sz w:val="24"/>
        </w:rPr>
        <w:t>Náklady na plnění doplňkových činností Akad</w:t>
      </w:r>
      <w:r w:rsidR="00DC308B">
        <w:rPr>
          <w:b/>
          <w:i/>
          <w:sz w:val="24"/>
        </w:rPr>
        <w:t>emie o.p.s. v období 2015/2016</w:t>
      </w:r>
      <w:r w:rsidRPr="00BE7A10">
        <w:rPr>
          <w:b/>
          <w:i/>
          <w:sz w:val="24"/>
        </w:rPr>
        <w:t xml:space="preserve"> </w:t>
      </w:r>
    </w:p>
    <w:p w:rsidR="002D794D" w:rsidRPr="00BE7A10" w:rsidRDefault="002D794D" w:rsidP="00BE7A10">
      <w:pPr>
        <w:spacing w:after="360"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AKADEMIE o.p.s.</w:t>
      </w:r>
      <w:r w:rsidRPr="00BE7A10">
        <w:rPr>
          <w:i/>
          <w:sz w:val="24"/>
          <w:szCs w:val="24"/>
        </w:rPr>
        <w:t xml:space="preserve"> </w:t>
      </w:r>
      <w:r w:rsidRPr="00BE7A10">
        <w:rPr>
          <w:sz w:val="24"/>
          <w:szCs w:val="24"/>
        </w:rPr>
        <w:t>neprovozovala v tomto účetním období doplňkovou činnost a tudíž neměla na ni ani žádné náklady. (K doplňkovým činnostem Akademie o.p.s. patří vydavatelská činnost).</w:t>
      </w:r>
    </w:p>
    <w:p w:rsidR="00831FE8" w:rsidRDefault="00831FE8" w:rsidP="00BE7A10">
      <w:pPr>
        <w:spacing w:line="360" w:lineRule="auto"/>
        <w:jc w:val="both"/>
        <w:rPr>
          <w:b/>
          <w:i/>
          <w:sz w:val="24"/>
        </w:rPr>
      </w:pPr>
    </w:p>
    <w:p w:rsidR="00D07217" w:rsidRDefault="00D07217" w:rsidP="00BE7A10">
      <w:pPr>
        <w:spacing w:line="360" w:lineRule="auto"/>
        <w:jc w:val="both"/>
        <w:rPr>
          <w:b/>
          <w:i/>
          <w:sz w:val="24"/>
        </w:rPr>
      </w:pPr>
    </w:p>
    <w:p w:rsidR="00831FE8" w:rsidRDefault="00831FE8" w:rsidP="00BE7A10">
      <w:pPr>
        <w:spacing w:line="360" w:lineRule="auto"/>
        <w:jc w:val="both"/>
        <w:rPr>
          <w:b/>
          <w:i/>
          <w:sz w:val="24"/>
        </w:rPr>
      </w:pPr>
    </w:p>
    <w:p w:rsidR="002D794D" w:rsidRPr="00BE7A10" w:rsidRDefault="002D794D" w:rsidP="00BE7A10">
      <w:pPr>
        <w:spacing w:line="360" w:lineRule="auto"/>
        <w:jc w:val="both"/>
        <w:rPr>
          <w:b/>
          <w:i/>
          <w:sz w:val="24"/>
        </w:rPr>
      </w:pPr>
      <w:r w:rsidRPr="00BE7A10">
        <w:rPr>
          <w:b/>
          <w:i/>
          <w:sz w:val="24"/>
        </w:rPr>
        <w:t>9.2</w:t>
      </w:r>
      <w:r w:rsidRPr="00BE7A10">
        <w:rPr>
          <w:sz w:val="24"/>
        </w:rPr>
        <w:t xml:space="preserve"> </w:t>
      </w:r>
      <w:r w:rsidRPr="00BE7A10">
        <w:rPr>
          <w:b/>
          <w:i/>
          <w:sz w:val="24"/>
        </w:rPr>
        <w:t>Náklady na vlastní činnost</w:t>
      </w:r>
    </w:p>
    <w:p w:rsidR="002D794D" w:rsidRPr="00BE7A10" w:rsidRDefault="002D794D" w:rsidP="00BE7A10">
      <w:pPr>
        <w:spacing w:line="360" w:lineRule="auto"/>
        <w:jc w:val="both"/>
        <w:rPr>
          <w:sz w:val="24"/>
        </w:rPr>
      </w:pP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Byly představovány nájmem, poštovným, telefonními poplatky a odměnou účetní, ekonomky a daňovému poradci:</w:t>
      </w: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</w:p>
    <w:p w:rsidR="002D794D" w:rsidRPr="002B7460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D794D" w:rsidRPr="00BE7A10">
        <w:rPr>
          <w:sz w:val="24"/>
          <w:szCs w:val="24"/>
        </w:rPr>
        <w:t>oštovné + kolky + ověření podpisů, správní poplatky</w:t>
      </w:r>
      <w:r w:rsidR="002D794D" w:rsidRPr="00BE7A10">
        <w:rPr>
          <w:sz w:val="24"/>
          <w:szCs w:val="24"/>
        </w:rPr>
        <w:tab/>
      </w:r>
      <w:r w:rsidR="002D794D" w:rsidRPr="00BE7A10">
        <w:rPr>
          <w:sz w:val="24"/>
          <w:szCs w:val="24"/>
        </w:rPr>
        <w:tab/>
      </w:r>
      <w:r w:rsidR="00766A6A" w:rsidRPr="00DC308B">
        <w:rPr>
          <w:color w:val="FF0000"/>
          <w:sz w:val="22"/>
          <w:szCs w:val="22"/>
        </w:rPr>
        <w:t>18</w:t>
      </w:r>
      <w:r w:rsidR="002B7460" w:rsidRPr="00DC308B">
        <w:rPr>
          <w:color w:val="FF0000"/>
          <w:sz w:val="22"/>
          <w:szCs w:val="22"/>
        </w:rPr>
        <w:t>.</w:t>
      </w:r>
      <w:r w:rsidR="00766A6A" w:rsidRPr="00DC308B">
        <w:rPr>
          <w:color w:val="FF0000"/>
          <w:sz w:val="22"/>
          <w:szCs w:val="22"/>
        </w:rPr>
        <w:t>765</w:t>
      </w:r>
      <w:r w:rsidR="002B7460" w:rsidRPr="00DC308B">
        <w:rPr>
          <w:color w:val="FF0000"/>
          <w:sz w:val="22"/>
          <w:szCs w:val="22"/>
        </w:rPr>
        <w:t>,-</w:t>
      </w:r>
      <w:r w:rsidR="002D794D" w:rsidRPr="002B7460">
        <w:rPr>
          <w:sz w:val="24"/>
          <w:szCs w:val="24"/>
        </w:rPr>
        <w:tab/>
      </w:r>
    </w:p>
    <w:p w:rsidR="002D794D" w:rsidRPr="00DC308B" w:rsidRDefault="00DB7EE0" w:rsidP="00BE7A10">
      <w:pPr>
        <w:numPr>
          <w:ilvl w:val="0"/>
          <w:numId w:val="5"/>
        </w:numPr>
        <w:spacing w:line="360" w:lineRule="auto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>T</w:t>
      </w:r>
      <w:r w:rsidR="002D794D" w:rsidRPr="002B7460">
        <w:rPr>
          <w:sz w:val="24"/>
          <w:szCs w:val="24"/>
        </w:rPr>
        <w:t>elefonní poplatky, internet</w:t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</w:r>
      <w:r w:rsidR="00766A6A" w:rsidRPr="00DC308B">
        <w:rPr>
          <w:color w:val="FF0000"/>
          <w:sz w:val="22"/>
          <w:szCs w:val="22"/>
        </w:rPr>
        <w:t>46</w:t>
      </w:r>
      <w:r w:rsidR="002B7460" w:rsidRPr="00DC308B">
        <w:rPr>
          <w:color w:val="FF0000"/>
          <w:sz w:val="22"/>
          <w:szCs w:val="22"/>
        </w:rPr>
        <w:t>.</w:t>
      </w:r>
      <w:r w:rsidR="00766A6A" w:rsidRPr="00DC308B">
        <w:rPr>
          <w:color w:val="FF0000"/>
          <w:sz w:val="22"/>
          <w:szCs w:val="22"/>
        </w:rPr>
        <w:t>080</w:t>
      </w:r>
      <w:r w:rsidR="002B7460" w:rsidRPr="00DC308B">
        <w:rPr>
          <w:color w:val="FF0000"/>
          <w:sz w:val="22"/>
          <w:szCs w:val="22"/>
        </w:rPr>
        <w:t>,-</w:t>
      </w:r>
    </w:p>
    <w:p w:rsidR="002D794D" w:rsidRPr="002B7460" w:rsidRDefault="00DB7EE0" w:rsidP="00BE7A1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B7460">
        <w:rPr>
          <w:sz w:val="24"/>
          <w:szCs w:val="24"/>
        </w:rPr>
        <w:t>N</w:t>
      </w:r>
      <w:r w:rsidR="002D794D" w:rsidRPr="002B7460">
        <w:rPr>
          <w:sz w:val="24"/>
          <w:szCs w:val="24"/>
        </w:rPr>
        <w:t xml:space="preserve">áklady na účetnictví, řízení společnosti a odměna      </w:t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  <w:t xml:space="preserve">      </w:t>
      </w:r>
      <w:r w:rsidR="002D794D" w:rsidRPr="002B7460">
        <w:rPr>
          <w:sz w:val="24"/>
          <w:szCs w:val="24"/>
        </w:rPr>
        <w:tab/>
      </w:r>
    </w:p>
    <w:p w:rsidR="002D794D" w:rsidRPr="00DC308B" w:rsidRDefault="002D794D" w:rsidP="00BE7A10">
      <w:pPr>
        <w:spacing w:line="360" w:lineRule="auto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 xml:space="preserve">    daňového p</w:t>
      </w:r>
      <w:r w:rsidR="00BE7A10" w:rsidRPr="002B7460">
        <w:rPr>
          <w:sz w:val="24"/>
          <w:szCs w:val="24"/>
        </w:rPr>
        <w:t>oradce a auditora</w:t>
      </w:r>
      <w:r w:rsidR="00BE7A10" w:rsidRPr="002B7460">
        <w:rPr>
          <w:sz w:val="24"/>
          <w:szCs w:val="24"/>
        </w:rPr>
        <w:tab/>
      </w:r>
      <w:r w:rsidR="00BE7A10" w:rsidRPr="002B7460">
        <w:rPr>
          <w:sz w:val="24"/>
          <w:szCs w:val="24"/>
        </w:rPr>
        <w:tab/>
      </w:r>
      <w:r w:rsidR="00BE7A10" w:rsidRPr="002B7460">
        <w:rPr>
          <w:sz w:val="24"/>
          <w:szCs w:val="24"/>
        </w:rPr>
        <w:tab/>
      </w:r>
      <w:r w:rsidR="00BE7A10" w:rsidRPr="002B7460">
        <w:rPr>
          <w:sz w:val="24"/>
          <w:szCs w:val="24"/>
        </w:rPr>
        <w:tab/>
        <w:t xml:space="preserve">          </w:t>
      </w:r>
      <w:r w:rsidR="00766A6A" w:rsidRPr="00DC308B">
        <w:rPr>
          <w:color w:val="FF0000"/>
          <w:sz w:val="22"/>
          <w:szCs w:val="22"/>
        </w:rPr>
        <w:t>214</w:t>
      </w:r>
      <w:r w:rsidR="002B7460" w:rsidRPr="00DC308B">
        <w:rPr>
          <w:color w:val="FF0000"/>
          <w:sz w:val="22"/>
          <w:szCs w:val="22"/>
        </w:rPr>
        <w:t>.</w:t>
      </w:r>
      <w:r w:rsidR="00766A6A" w:rsidRPr="00DC308B">
        <w:rPr>
          <w:color w:val="FF0000"/>
          <w:sz w:val="22"/>
          <w:szCs w:val="22"/>
        </w:rPr>
        <w:t>900</w:t>
      </w:r>
      <w:r w:rsidR="002B7460" w:rsidRPr="00DC308B">
        <w:rPr>
          <w:color w:val="FF0000"/>
          <w:sz w:val="22"/>
          <w:szCs w:val="22"/>
        </w:rPr>
        <w:t>,-</w:t>
      </w:r>
    </w:p>
    <w:p w:rsidR="002D794D" w:rsidRPr="00DC308B" w:rsidRDefault="00DB7EE0" w:rsidP="00BE7A10">
      <w:pPr>
        <w:numPr>
          <w:ilvl w:val="0"/>
          <w:numId w:val="5"/>
        </w:numPr>
        <w:spacing w:line="360" w:lineRule="auto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>K</w:t>
      </w:r>
      <w:r w:rsidR="002D794D" w:rsidRPr="002B7460">
        <w:rPr>
          <w:sz w:val="24"/>
          <w:szCs w:val="24"/>
        </w:rPr>
        <w:t xml:space="preserve">ancelářský materiál, opravy </w:t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  <w:t xml:space="preserve">           </w:t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  <w:t xml:space="preserve">             </w:t>
      </w:r>
      <w:r w:rsidR="00D156D8" w:rsidRPr="00DC308B">
        <w:rPr>
          <w:color w:val="FF0000"/>
          <w:sz w:val="22"/>
          <w:szCs w:val="22"/>
        </w:rPr>
        <w:t>91</w:t>
      </w:r>
      <w:r w:rsidR="002B7460" w:rsidRPr="00DC308B">
        <w:rPr>
          <w:color w:val="FF0000"/>
          <w:sz w:val="22"/>
          <w:szCs w:val="22"/>
        </w:rPr>
        <w:t>.</w:t>
      </w:r>
      <w:r w:rsidR="00D156D8" w:rsidRPr="00DC308B">
        <w:rPr>
          <w:color w:val="FF0000"/>
          <w:sz w:val="22"/>
          <w:szCs w:val="22"/>
        </w:rPr>
        <w:t>019</w:t>
      </w:r>
      <w:r w:rsidR="002B7460" w:rsidRPr="00DC308B">
        <w:rPr>
          <w:color w:val="FF0000"/>
          <w:sz w:val="22"/>
          <w:szCs w:val="22"/>
        </w:rPr>
        <w:t>,-</w:t>
      </w:r>
    </w:p>
    <w:p w:rsidR="002D794D" w:rsidRPr="00DC308B" w:rsidRDefault="00DB7EE0" w:rsidP="00BE7A10">
      <w:pPr>
        <w:numPr>
          <w:ilvl w:val="0"/>
          <w:numId w:val="5"/>
        </w:numPr>
        <w:spacing w:line="360" w:lineRule="auto"/>
        <w:rPr>
          <w:color w:val="FF0000"/>
          <w:sz w:val="24"/>
          <w:szCs w:val="24"/>
        </w:rPr>
      </w:pPr>
      <w:r w:rsidRPr="002B7460">
        <w:rPr>
          <w:sz w:val="24"/>
          <w:szCs w:val="24"/>
        </w:rPr>
        <w:t>N</w:t>
      </w:r>
      <w:r w:rsidR="002D794D" w:rsidRPr="002B7460">
        <w:rPr>
          <w:sz w:val="24"/>
          <w:szCs w:val="24"/>
        </w:rPr>
        <w:t>ájemné, vodné, stočné, energie, plyn</w:t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</w:r>
      <w:r w:rsidR="002D794D" w:rsidRPr="002B7460">
        <w:rPr>
          <w:sz w:val="24"/>
          <w:szCs w:val="24"/>
        </w:rPr>
        <w:tab/>
        <w:t xml:space="preserve">          </w:t>
      </w:r>
      <w:r w:rsidR="002D794D" w:rsidRPr="002B7460">
        <w:rPr>
          <w:sz w:val="24"/>
          <w:szCs w:val="24"/>
        </w:rPr>
        <w:tab/>
      </w:r>
      <w:r w:rsidR="002B7460" w:rsidRPr="00DC308B">
        <w:rPr>
          <w:color w:val="FF0000"/>
          <w:sz w:val="22"/>
          <w:szCs w:val="22"/>
        </w:rPr>
        <w:t>340.</w:t>
      </w:r>
      <w:r w:rsidR="00D156D8" w:rsidRPr="00DC308B">
        <w:rPr>
          <w:color w:val="FF0000"/>
          <w:sz w:val="22"/>
          <w:szCs w:val="22"/>
        </w:rPr>
        <w:t>000</w:t>
      </w:r>
      <w:r w:rsidR="002B7460" w:rsidRPr="00DC308B">
        <w:rPr>
          <w:color w:val="FF0000"/>
          <w:sz w:val="22"/>
          <w:szCs w:val="22"/>
        </w:rPr>
        <w:t>,-</w:t>
      </w:r>
    </w:p>
    <w:p w:rsidR="002D794D" w:rsidRPr="002B7460" w:rsidRDefault="002D794D" w:rsidP="00BE7A10">
      <w:pPr>
        <w:spacing w:line="360" w:lineRule="auto"/>
        <w:rPr>
          <w:sz w:val="24"/>
          <w:szCs w:val="24"/>
        </w:rPr>
      </w:pPr>
    </w:p>
    <w:p w:rsidR="002D794D" w:rsidRPr="002B7460" w:rsidRDefault="002D794D" w:rsidP="00BE7A10">
      <w:pPr>
        <w:spacing w:line="360" w:lineRule="auto"/>
        <w:rPr>
          <w:sz w:val="24"/>
          <w:szCs w:val="24"/>
        </w:rPr>
      </w:pPr>
      <w:r w:rsidRPr="002B7460">
        <w:rPr>
          <w:sz w:val="24"/>
          <w:szCs w:val="24"/>
        </w:rPr>
        <w:t>Celkové náklady na</w:t>
      </w:r>
      <w:r w:rsidR="00BE7A10" w:rsidRPr="002B7460">
        <w:rPr>
          <w:sz w:val="24"/>
          <w:szCs w:val="24"/>
        </w:rPr>
        <w:t xml:space="preserve"> vlastní provoz činí</w:t>
      </w:r>
      <w:r w:rsidR="00BE7A10" w:rsidRPr="002B7460">
        <w:rPr>
          <w:sz w:val="24"/>
          <w:szCs w:val="24"/>
        </w:rPr>
        <w:tab/>
      </w:r>
      <w:r w:rsidR="00BE7A10" w:rsidRPr="002B7460">
        <w:rPr>
          <w:sz w:val="24"/>
          <w:szCs w:val="24"/>
        </w:rPr>
        <w:tab/>
      </w:r>
      <w:r w:rsidR="00BE7A10" w:rsidRPr="002B7460">
        <w:rPr>
          <w:sz w:val="24"/>
          <w:szCs w:val="24"/>
        </w:rPr>
        <w:tab/>
        <w:t xml:space="preserve">       </w:t>
      </w:r>
      <w:r w:rsidR="00BE7A10" w:rsidRPr="002B7460">
        <w:rPr>
          <w:sz w:val="24"/>
          <w:szCs w:val="24"/>
        </w:rPr>
        <w:tab/>
      </w:r>
      <w:r w:rsidR="00D156D8" w:rsidRPr="00DC308B">
        <w:rPr>
          <w:color w:val="FF0000"/>
          <w:sz w:val="22"/>
          <w:szCs w:val="22"/>
        </w:rPr>
        <w:t>710 764,- Kč</w:t>
      </w:r>
      <w:r w:rsidRPr="00DC308B">
        <w:rPr>
          <w:color w:val="FF0000"/>
          <w:sz w:val="24"/>
          <w:szCs w:val="24"/>
        </w:rPr>
        <w:t xml:space="preserve">       </w:t>
      </w:r>
    </w:p>
    <w:p w:rsidR="002D794D" w:rsidRPr="00BE7A10" w:rsidRDefault="002D794D" w:rsidP="00BE7A10">
      <w:pPr>
        <w:spacing w:line="360" w:lineRule="auto"/>
        <w:rPr>
          <w:sz w:val="24"/>
          <w:szCs w:val="24"/>
        </w:rPr>
      </w:pPr>
    </w:p>
    <w:p w:rsidR="002D794D" w:rsidRPr="00BE7A10" w:rsidRDefault="002B7460" w:rsidP="00BE7A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Což nepřesahuje </w:t>
      </w:r>
      <w:r w:rsidRPr="00FA3AC3">
        <w:rPr>
          <w:color w:val="FF0000"/>
          <w:sz w:val="24"/>
          <w:szCs w:val="24"/>
        </w:rPr>
        <w:t>3</w:t>
      </w:r>
      <w:r w:rsidR="00BE7A10" w:rsidRPr="00FA3AC3">
        <w:rPr>
          <w:color w:val="FF0000"/>
          <w:sz w:val="24"/>
          <w:szCs w:val="24"/>
        </w:rPr>
        <w:t xml:space="preserve"> %</w:t>
      </w:r>
      <w:r w:rsidR="002D794D" w:rsidRPr="00FA3AC3">
        <w:rPr>
          <w:color w:val="FF0000"/>
          <w:sz w:val="24"/>
          <w:szCs w:val="24"/>
        </w:rPr>
        <w:t xml:space="preserve"> obratu </w:t>
      </w:r>
      <w:r w:rsidR="002D794D" w:rsidRPr="00BE7A10">
        <w:rPr>
          <w:sz w:val="24"/>
          <w:szCs w:val="24"/>
        </w:rPr>
        <w:t>a lze označit jako velmi dobrý výsledek.</w:t>
      </w: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</w:p>
    <w:p w:rsidR="002142A5" w:rsidRPr="00BE7A10" w:rsidRDefault="002142A5" w:rsidP="00BE7A10">
      <w:pPr>
        <w:spacing w:line="360" w:lineRule="auto"/>
        <w:jc w:val="both"/>
        <w:rPr>
          <w:sz w:val="24"/>
          <w:szCs w:val="24"/>
        </w:rPr>
      </w:pPr>
    </w:p>
    <w:p w:rsidR="000F3CBD" w:rsidRDefault="007074FF" w:rsidP="00BE7A10">
      <w:pPr>
        <w:spacing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V období </w:t>
      </w:r>
      <w:r w:rsidR="00DC308B">
        <w:rPr>
          <w:sz w:val="24"/>
          <w:szCs w:val="24"/>
        </w:rPr>
        <w:t>2015/2016</w:t>
      </w:r>
      <w:r w:rsidR="002D794D" w:rsidRPr="00BE7A10">
        <w:rPr>
          <w:sz w:val="24"/>
          <w:szCs w:val="24"/>
        </w:rPr>
        <w:t xml:space="preserve"> účtovala AKADEMIE o.p.s. v hospodářském roce začínajícím 1. 7. 201</w:t>
      </w:r>
      <w:r w:rsidR="00DC308B">
        <w:rPr>
          <w:sz w:val="24"/>
          <w:szCs w:val="24"/>
        </w:rPr>
        <w:t>5</w:t>
      </w:r>
      <w:r w:rsidR="002D794D" w:rsidRPr="00BE7A10">
        <w:rPr>
          <w:sz w:val="24"/>
          <w:szCs w:val="24"/>
        </w:rPr>
        <w:t xml:space="preserve"> a ko</w:t>
      </w:r>
      <w:r w:rsidRPr="00BE7A10">
        <w:rPr>
          <w:sz w:val="24"/>
          <w:szCs w:val="24"/>
        </w:rPr>
        <w:t xml:space="preserve">nčícím 30. </w:t>
      </w:r>
      <w:r w:rsidR="00DC308B">
        <w:rPr>
          <w:sz w:val="24"/>
          <w:szCs w:val="24"/>
        </w:rPr>
        <w:t>6. 2016</w:t>
      </w:r>
      <w:r w:rsidR="00585EF3" w:rsidRPr="00BE7A10">
        <w:rPr>
          <w:sz w:val="24"/>
          <w:szCs w:val="24"/>
        </w:rPr>
        <w:t>, termín pro podání daňového přizn</w:t>
      </w:r>
      <w:r w:rsidR="00DC308B">
        <w:rPr>
          <w:sz w:val="24"/>
          <w:szCs w:val="24"/>
        </w:rPr>
        <w:t>ání byl prodloužen do 31. 12. 16</w:t>
      </w:r>
      <w:r w:rsidR="00585EF3" w:rsidRPr="00BE7A10">
        <w:rPr>
          <w:sz w:val="24"/>
          <w:szCs w:val="24"/>
        </w:rPr>
        <w:t>. Z</w:t>
      </w:r>
      <w:r w:rsidR="00F21E65" w:rsidRPr="00BE7A10">
        <w:rPr>
          <w:sz w:val="24"/>
          <w:szCs w:val="24"/>
        </w:rPr>
        <w:t>práva je z</w:t>
      </w:r>
      <w:r w:rsidR="002D794D" w:rsidRPr="00BE7A10">
        <w:rPr>
          <w:sz w:val="24"/>
          <w:szCs w:val="24"/>
        </w:rPr>
        <w:t xml:space="preserve">pracována za toto účetní období. </w:t>
      </w:r>
      <w:r w:rsidR="000F3CBD" w:rsidRPr="00BE7A10">
        <w:rPr>
          <w:sz w:val="24"/>
          <w:szCs w:val="24"/>
        </w:rPr>
        <w:t xml:space="preserve">Členové správní a dozorčí rady, jakož i </w:t>
      </w:r>
      <w:r w:rsidR="00DC308B">
        <w:rPr>
          <w:sz w:val="24"/>
          <w:szCs w:val="24"/>
        </w:rPr>
        <w:t>ředitel nepobírali v období 2015 /2016</w:t>
      </w:r>
      <w:r w:rsidR="000F3CBD" w:rsidRPr="00BE7A10">
        <w:rPr>
          <w:sz w:val="24"/>
          <w:szCs w:val="24"/>
        </w:rPr>
        <w:t xml:space="preserve"> z titulu výkonu funkce žádné odměny.</w:t>
      </w:r>
    </w:p>
    <w:p w:rsidR="00BE7A10" w:rsidRDefault="00BE7A10" w:rsidP="00BE7A10">
      <w:pPr>
        <w:spacing w:line="360" w:lineRule="auto"/>
        <w:jc w:val="both"/>
        <w:rPr>
          <w:sz w:val="24"/>
          <w:szCs w:val="24"/>
        </w:rPr>
      </w:pPr>
    </w:p>
    <w:p w:rsidR="00BE7A10" w:rsidRDefault="00BE7A10" w:rsidP="00BE7A10">
      <w:pPr>
        <w:spacing w:line="360" w:lineRule="auto"/>
        <w:jc w:val="both"/>
        <w:rPr>
          <w:sz w:val="24"/>
          <w:szCs w:val="24"/>
        </w:rPr>
      </w:pPr>
    </w:p>
    <w:p w:rsidR="009F373F" w:rsidRPr="00BE7A10" w:rsidRDefault="009F373F" w:rsidP="00BE7A10">
      <w:pPr>
        <w:spacing w:line="360" w:lineRule="auto"/>
        <w:jc w:val="both"/>
        <w:rPr>
          <w:sz w:val="24"/>
          <w:szCs w:val="24"/>
        </w:rPr>
      </w:pPr>
    </w:p>
    <w:p w:rsidR="00E36F42" w:rsidRPr="00BE7A10" w:rsidRDefault="00E36F42" w:rsidP="00BE7A10">
      <w:pPr>
        <w:spacing w:line="360" w:lineRule="auto"/>
        <w:jc w:val="both"/>
        <w:rPr>
          <w:sz w:val="24"/>
        </w:rPr>
      </w:pPr>
    </w:p>
    <w:p w:rsidR="002D794D" w:rsidRPr="00BE7A10" w:rsidRDefault="00BE7A10" w:rsidP="00BE7A10">
      <w:pPr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D794D" w:rsidRPr="00BE7A10">
        <w:rPr>
          <w:b/>
          <w:caps/>
          <w:sz w:val="28"/>
          <w:szCs w:val="28"/>
        </w:rPr>
        <w:t>Změny ve slože</w:t>
      </w:r>
      <w:r w:rsidR="00DC308B">
        <w:rPr>
          <w:b/>
          <w:caps/>
          <w:sz w:val="28"/>
          <w:szCs w:val="28"/>
        </w:rPr>
        <w:t>ní řídících orgánů v období 2015/2016</w:t>
      </w:r>
    </w:p>
    <w:p w:rsidR="00FA3AC3" w:rsidRDefault="00FA3AC3" w:rsidP="00BE7A10">
      <w:pPr>
        <w:spacing w:line="360" w:lineRule="auto"/>
        <w:jc w:val="both"/>
        <w:rPr>
          <w:rFonts w:ascii="Georgia" w:hAnsi="Georgia"/>
          <w:sz w:val="24"/>
        </w:rPr>
      </w:pPr>
    </w:p>
    <w:p w:rsidR="002D794D" w:rsidRPr="00BE7A10" w:rsidRDefault="00FA3AC3" w:rsidP="00BE7A10">
      <w:pPr>
        <w:spacing w:line="360" w:lineRule="auto"/>
        <w:jc w:val="both"/>
        <w:rPr>
          <w:sz w:val="24"/>
          <w:szCs w:val="24"/>
        </w:rPr>
      </w:pPr>
      <w:r>
        <w:rPr>
          <w:rFonts w:ascii="Georgia" w:hAnsi="Georgia"/>
          <w:sz w:val="24"/>
        </w:rPr>
        <w:t>V</w:t>
      </w:r>
      <w:r w:rsidR="002D794D" w:rsidRPr="00BE7A10">
        <w:rPr>
          <w:sz w:val="24"/>
          <w:szCs w:val="24"/>
        </w:rPr>
        <w:t> období 201</w:t>
      </w:r>
      <w:r w:rsidR="00DC308B">
        <w:rPr>
          <w:sz w:val="24"/>
          <w:szCs w:val="24"/>
        </w:rPr>
        <w:t>5</w:t>
      </w:r>
      <w:r w:rsidR="002D794D" w:rsidRPr="00BE7A10">
        <w:rPr>
          <w:sz w:val="24"/>
          <w:szCs w:val="24"/>
        </w:rPr>
        <w:t>/ 201</w:t>
      </w:r>
      <w:r w:rsidR="00DC308B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2D794D" w:rsidRPr="00BE7A10">
        <w:rPr>
          <w:sz w:val="24"/>
          <w:szCs w:val="24"/>
        </w:rPr>
        <w:t>byly realizovány</w:t>
      </w:r>
      <w:r>
        <w:rPr>
          <w:sz w:val="24"/>
          <w:szCs w:val="24"/>
        </w:rPr>
        <w:t xml:space="preserve"> změny v obsazení funkcí ředitele společnosti, kterým se stal prof. Ing. Vladimír Klaban, CSc., a předsedy dozorčí rady, kterým se stal Mgr. Ing. Vladimír Klaban, obojí ke dni 15. dubna 2016</w:t>
      </w:r>
      <w:r w:rsidR="000F3CBD" w:rsidRPr="00BE7A10">
        <w:rPr>
          <w:sz w:val="24"/>
          <w:szCs w:val="24"/>
        </w:rPr>
        <w:t xml:space="preserve">. 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FA3AC3" w:rsidRDefault="00FA3AC3" w:rsidP="00585EF3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FA3AC3" w:rsidRDefault="00FA3AC3" w:rsidP="00585EF3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2D794D" w:rsidRPr="00BE7A10" w:rsidRDefault="002D794D" w:rsidP="00585EF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Správní rada:</w:t>
      </w:r>
    </w:p>
    <w:p w:rsidR="002D794D" w:rsidRPr="00BE7A10" w:rsidRDefault="002D794D" w:rsidP="00585EF3">
      <w:pPr>
        <w:spacing w:line="276" w:lineRule="auto"/>
        <w:jc w:val="both"/>
        <w:rPr>
          <w:b/>
          <w:sz w:val="24"/>
          <w:szCs w:val="24"/>
        </w:rPr>
      </w:pPr>
      <w:r w:rsidRPr="00BE7A10">
        <w:rPr>
          <w:b/>
          <w:sz w:val="24"/>
          <w:szCs w:val="24"/>
        </w:rPr>
        <w:tab/>
      </w:r>
    </w:p>
    <w:p w:rsidR="002D794D" w:rsidRPr="00BE7A10" w:rsidRDefault="001228B6" w:rsidP="00E36F4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Ing. Bořivoj Bohuslav - předseda</w:t>
      </w:r>
    </w:p>
    <w:p w:rsidR="002D794D" w:rsidRPr="00BE7A10" w:rsidRDefault="002D794D" w:rsidP="00E36F4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Ing. arch. Milan Gál </w:t>
      </w:r>
      <w:r w:rsidR="001228B6" w:rsidRPr="00BE7A10">
        <w:rPr>
          <w:sz w:val="24"/>
          <w:szCs w:val="24"/>
        </w:rPr>
        <w:t>–</w:t>
      </w:r>
      <w:r w:rsidRPr="00BE7A10">
        <w:rPr>
          <w:sz w:val="24"/>
          <w:szCs w:val="24"/>
        </w:rPr>
        <w:t xml:space="preserve"> člen</w:t>
      </w:r>
      <w:r w:rsidR="00D07217">
        <w:rPr>
          <w:sz w:val="24"/>
          <w:szCs w:val="24"/>
        </w:rPr>
        <w:t xml:space="preserve"> </w:t>
      </w:r>
    </w:p>
    <w:p w:rsidR="001228B6" w:rsidRPr="00BE7A10" w:rsidRDefault="008C4D80" w:rsidP="00E36F42">
      <w:pPr>
        <w:pStyle w:val="Odstavecseseznamem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prof. Ing. Bohumil Plíhal, CS</w:t>
      </w:r>
      <w:r w:rsidR="001228B6" w:rsidRPr="00BE7A10">
        <w:rPr>
          <w:sz w:val="24"/>
          <w:szCs w:val="24"/>
        </w:rPr>
        <w:t>c., - člen</w:t>
      </w:r>
    </w:p>
    <w:p w:rsidR="002D794D" w:rsidRPr="00BE7A10" w:rsidRDefault="002D794D" w:rsidP="00585EF3">
      <w:pPr>
        <w:spacing w:line="276" w:lineRule="auto"/>
        <w:jc w:val="both"/>
        <w:rPr>
          <w:sz w:val="24"/>
          <w:szCs w:val="24"/>
        </w:rPr>
      </w:pPr>
    </w:p>
    <w:p w:rsidR="002D794D" w:rsidRPr="00BE7A10" w:rsidRDefault="002D794D" w:rsidP="00585EF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Dozorčí rada:</w:t>
      </w:r>
    </w:p>
    <w:p w:rsidR="002D794D" w:rsidRPr="00BE7A10" w:rsidRDefault="002D794D" w:rsidP="00585EF3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2D794D" w:rsidRPr="00BE7A10" w:rsidRDefault="00FA3AC3" w:rsidP="00E36F4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Ing. Vladimír Klaban, </w:t>
      </w:r>
      <w:r w:rsidR="002D794D" w:rsidRPr="00BE7A10">
        <w:rPr>
          <w:sz w:val="24"/>
          <w:szCs w:val="24"/>
        </w:rPr>
        <w:t>- předseda</w:t>
      </w:r>
    </w:p>
    <w:p w:rsidR="002D794D" w:rsidRPr="00BE7A10" w:rsidRDefault="002D794D" w:rsidP="00E36F4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Mgr. Roman Čech </w:t>
      </w:r>
      <w:r w:rsidR="00D07217">
        <w:rPr>
          <w:sz w:val="24"/>
          <w:szCs w:val="24"/>
        </w:rPr>
        <w:t>–</w:t>
      </w:r>
      <w:r w:rsidRPr="00BE7A10">
        <w:rPr>
          <w:sz w:val="24"/>
          <w:szCs w:val="24"/>
        </w:rPr>
        <w:t xml:space="preserve"> člen</w:t>
      </w:r>
      <w:r w:rsidR="00D07217">
        <w:rPr>
          <w:sz w:val="24"/>
          <w:szCs w:val="24"/>
        </w:rPr>
        <w:t xml:space="preserve"> </w:t>
      </w:r>
    </w:p>
    <w:p w:rsidR="002D794D" w:rsidRPr="00BE7A10" w:rsidRDefault="001228B6" w:rsidP="00E36F42">
      <w:pPr>
        <w:pStyle w:val="Odstavecseseznamem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 xml:space="preserve">Ing. Jana </w:t>
      </w:r>
      <w:r w:rsidR="00585EF3" w:rsidRPr="00BE7A10">
        <w:rPr>
          <w:sz w:val="24"/>
          <w:szCs w:val="24"/>
        </w:rPr>
        <w:t>Herajtová</w:t>
      </w:r>
      <w:r w:rsidR="002D794D" w:rsidRPr="00BE7A10">
        <w:rPr>
          <w:sz w:val="24"/>
          <w:szCs w:val="24"/>
        </w:rPr>
        <w:t xml:space="preserve"> </w:t>
      </w:r>
      <w:r w:rsidR="00D07217">
        <w:rPr>
          <w:sz w:val="24"/>
          <w:szCs w:val="24"/>
        </w:rPr>
        <w:t>–</w:t>
      </w:r>
      <w:r w:rsidR="002D794D" w:rsidRPr="00BE7A10">
        <w:rPr>
          <w:sz w:val="24"/>
          <w:szCs w:val="24"/>
        </w:rPr>
        <w:t xml:space="preserve"> člen</w:t>
      </w:r>
      <w:r w:rsidR="00D07217">
        <w:rPr>
          <w:sz w:val="24"/>
          <w:szCs w:val="24"/>
        </w:rPr>
        <w:t xml:space="preserve"> </w:t>
      </w:r>
    </w:p>
    <w:p w:rsidR="002D794D" w:rsidRPr="00BE7A10" w:rsidRDefault="002D794D" w:rsidP="00585EF3">
      <w:pPr>
        <w:spacing w:line="276" w:lineRule="auto"/>
        <w:ind w:firstLine="708"/>
        <w:jc w:val="both"/>
        <w:rPr>
          <w:sz w:val="24"/>
          <w:szCs w:val="24"/>
        </w:rPr>
      </w:pPr>
    </w:p>
    <w:p w:rsidR="002D794D" w:rsidRPr="00BE7A10" w:rsidRDefault="002D794D" w:rsidP="00585EF3">
      <w:pPr>
        <w:spacing w:line="276" w:lineRule="auto"/>
        <w:jc w:val="both"/>
        <w:rPr>
          <w:b/>
          <w:sz w:val="24"/>
          <w:szCs w:val="24"/>
          <w:u w:val="single"/>
        </w:rPr>
      </w:pPr>
      <w:r w:rsidRPr="00BE7A10">
        <w:rPr>
          <w:b/>
          <w:sz w:val="24"/>
          <w:szCs w:val="24"/>
          <w:u w:val="single"/>
        </w:rPr>
        <w:t>Ředitel AKADEMIE o.p.s.:</w:t>
      </w:r>
    </w:p>
    <w:p w:rsidR="002D794D" w:rsidRPr="00BE7A10" w:rsidRDefault="002D794D" w:rsidP="00585EF3">
      <w:pPr>
        <w:spacing w:line="276" w:lineRule="auto"/>
        <w:jc w:val="both"/>
        <w:rPr>
          <w:sz w:val="24"/>
          <w:szCs w:val="24"/>
        </w:rPr>
      </w:pPr>
    </w:p>
    <w:p w:rsidR="002D794D" w:rsidRPr="00BE7A10" w:rsidRDefault="00FA3AC3" w:rsidP="00E36F42">
      <w:pPr>
        <w:pStyle w:val="Odstavecseseznamem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2D794D" w:rsidRPr="00BE7A10">
        <w:rPr>
          <w:sz w:val="24"/>
          <w:szCs w:val="24"/>
        </w:rPr>
        <w:t>Ing. Vladimír Klaban</w:t>
      </w:r>
      <w:r>
        <w:rPr>
          <w:sz w:val="24"/>
          <w:szCs w:val="24"/>
        </w:rPr>
        <w:t>, CSc.</w:t>
      </w:r>
    </w:p>
    <w:p w:rsidR="002D794D" w:rsidRPr="00585EF3" w:rsidRDefault="002D794D" w:rsidP="00585EF3">
      <w:pPr>
        <w:spacing w:line="276" w:lineRule="auto"/>
        <w:jc w:val="both"/>
        <w:rPr>
          <w:rFonts w:ascii="Georgia" w:hAnsi="Georgia"/>
          <w:sz w:val="24"/>
        </w:rPr>
      </w:pPr>
    </w:p>
    <w:p w:rsidR="002D794D" w:rsidRPr="00BE7A10" w:rsidRDefault="00DB7EE0" w:rsidP="00BE7A1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E36F42" w:rsidRPr="00BE7A10">
        <w:rPr>
          <w:b/>
          <w:caps/>
          <w:sz w:val="28"/>
          <w:szCs w:val="28"/>
        </w:rPr>
        <w:t xml:space="preserve">ZAKLÁDACÍ SMLOUVA </w:t>
      </w:r>
    </w:p>
    <w:p w:rsidR="002D794D" w:rsidRPr="00BE7A10" w:rsidRDefault="002D794D" w:rsidP="00585EF3">
      <w:pPr>
        <w:spacing w:line="276" w:lineRule="auto"/>
        <w:jc w:val="both"/>
        <w:rPr>
          <w:b/>
          <w:caps/>
          <w:sz w:val="24"/>
          <w:szCs w:val="24"/>
        </w:rPr>
      </w:pPr>
    </w:p>
    <w:p w:rsidR="002D794D" w:rsidRPr="00BE7A10" w:rsidRDefault="002D794D" w:rsidP="00BE7A10">
      <w:pPr>
        <w:spacing w:line="360" w:lineRule="auto"/>
        <w:jc w:val="both"/>
        <w:rPr>
          <w:sz w:val="24"/>
          <w:szCs w:val="24"/>
        </w:rPr>
      </w:pPr>
      <w:r w:rsidRPr="00BE7A10">
        <w:rPr>
          <w:sz w:val="24"/>
          <w:szCs w:val="24"/>
        </w:rPr>
        <w:t>Zakládací smlouva a </w:t>
      </w:r>
      <w:r w:rsidR="00585EF3" w:rsidRPr="00BE7A10">
        <w:rPr>
          <w:sz w:val="24"/>
          <w:szCs w:val="24"/>
        </w:rPr>
        <w:t xml:space="preserve"> společnosti je</w:t>
      </w:r>
      <w:r w:rsidRPr="00BE7A10">
        <w:rPr>
          <w:sz w:val="24"/>
          <w:szCs w:val="24"/>
        </w:rPr>
        <w:t xml:space="preserve"> v souladu s požadavky zákona č. 248/1995 Sb., o obecně prospěšných společnostech, ve znění pozdějších předpisů, </w:t>
      </w:r>
      <w:r w:rsidR="00585EF3" w:rsidRPr="00BE7A10">
        <w:rPr>
          <w:sz w:val="24"/>
          <w:szCs w:val="24"/>
        </w:rPr>
        <w:t>byla uvedena</w:t>
      </w:r>
      <w:r w:rsidRPr="00BE7A10">
        <w:rPr>
          <w:sz w:val="24"/>
          <w:szCs w:val="24"/>
        </w:rPr>
        <w:t xml:space="preserve"> do souladu s požadavky novely výše uvedeného zákona, která byla provedena zákone</w:t>
      </w:r>
      <w:r w:rsidR="000F3CBD" w:rsidRPr="00BE7A10">
        <w:rPr>
          <w:sz w:val="24"/>
          <w:szCs w:val="24"/>
        </w:rPr>
        <w:t xml:space="preserve">m č. 231/2010 Sb. Tyto listiny </w:t>
      </w:r>
      <w:r w:rsidRPr="00BE7A10">
        <w:rPr>
          <w:sz w:val="24"/>
          <w:szCs w:val="24"/>
        </w:rPr>
        <w:t xml:space="preserve">jsou uloženy do sbírky listin vedené OR KS v Brně. </w:t>
      </w:r>
    </w:p>
    <w:p w:rsidR="00585EF3" w:rsidRDefault="00585EF3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2142A5" w:rsidRDefault="002142A5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E36F42" w:rsidRPr="00585EF3" w:rsidRDefault="00E36F42" w:rsidP="00585EF3">
      <w:pPr>
        <w:spacing w:line="276" w:lineRule="auto"/>
        <w:rPr>
          <w:rFonts w:ascii="Georgia" w:hAnsi="Georgia"/>
          <w:b/>
          <w:caps/>
          <w:sz w:val="24"/>
          <w:szCs w:val="24"/>
        </w:rPr>
      </w:pPr>
    </w:p>
    <w:p w:rsidR="002D794D" w:rsidRPr="00DB7EE0" w:rsidRDefault="00DB7EE0" w:rsidP="00DB7EE0">
      <w:pPr>
        <w:pStyle w:val="Odstavecseseznamem"/>
        <w:numPr>
          <w:ilvl w:val="0"/>
          <w:numId w:val="2"/>
        </w:numPr>
        <w:shd w:val="clear" w:color="auto" w:fill="FFFFFF" w:themeFill="background1"/>
        <w:spacing w:line="276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 w:rsidR="002D794D" w:rsidRPr="00DB7EE0">
        <w:rPr>
          <w:b/>
          <w:caps/>
          <w:sz w:val="28"/>
          <w:szCs w:val="28"/>
        </w:rPr>
        <w:t>Závěr - perspektivy společ</w:t>
      </w:r>
      <w:r w:rsidR="001228B6" w:rsidRPr="00DB7EE0">
        <w:rPr>
          <w:b/>
          <w:caps/>
          <w:sz w:val="28"/>
          <w:szCs w:val="28"/>
        </w:rPr>
        <w:t>nosti v dalším období</w:t>
      </w:r>
    </w:p>
    <w:p w:rsidR="002D794D" w:rsidRPr="00585EF3" w:rsidRDefault="002D794D" w:rsidP="00585EF3">
      <w:pPr>
        <w:spacing w:line="276" w:lineRule="auto"/>
        <w:rPr>
          <w:rFonts w:ascii="Georgia" w:hAnsi="Georgia"/>
          <w:sz w:val="24"/>
        </w:rPr>
      </w:pPr>
    </w:p>
    <w:p w:rsidR="00C32009" w:rsidRPr="00DB7EE0" w:rsidRDefault="002D794D" w:rsidP="00DB7EE0">
      <w:pPr>
        <w:spacing w:line="360" w:lineRule="auto"/>
        <w:jc w:val="both"/>
        <w:rPr>
          <w:sz w:val="24"/>
          <w:szCs w:val="24"/>
        </w:rPr>
      </w:pPr>
      <w:r w:rsidRPr="00DB7EE0">
        <w:rPr>
          <w:sz w:val="24"/>
          <w:szCs w:val="24"/>
        </w:rPr>
        <w:t>Do dalšího období vstupuje Akademie o.p.s. s tím, že zůstává perspektivní společností pro organizování veřejně prospěšných služeb v oblasti vědeckého bádání, výzkumu a vývoje zejména v oborech bezpečnostního výzkumu a vzdělávání školství a dále pomoci podnikatelským subjektům v organiza</w:t>
      </w:r>
      <w:r w:rsidR="00D07217">
        <w:rPr>
          <w:sz w:val="24"/>
          <w:szCs w:val="24"/>
        </w:rPr>
        <w:t>ci vývoje a výzkumu. V roce 2015/16</w:t>
      </w:r>
      <w:r w:rsidR="00DB7EE0">
        <w:rPr>
          <w:sz w:val="24"/>
          <w:szCs w:val="24"/>
        </w:rPr>
        <w:t xml:space="preserve"> byly</w:t>
      </w:r>
      <w:r w:rsidRPr="00DB7EE0">
        <w:rPr>
          <w:sz w:val="24"/>
          <w:szCs w:val="24"/>
        </w:rPr>
        <w:t xml:space="preserve"> zprac</w:t>
      </w:r>
      <w:r w:rsidR="00DB7EE0">
        <w:rPr>
          <w:sz w:val="24"/>
          <w:szCs w:val="24"/>
        </w:rPr>
        <w:t xml:space="preserve">ovány </w:t>
      </w:r>
      <w:r w:rsidR="00DB7EE0" w:rsidRPr="00D07217">
        <w:rPr>
          <w:color w:val="FF0000"/>
          <w:sz w:val="24"/>
          <w:szCs w:val="24"/>
        </w:rPr>
        <w:t>4 projektové žádosti</w:t>
      </w:r>
      <w:r w:rsidRPr="00D07217">
        <w:rPr>
          <w:color w:val="FF0000"/>
          <w:sz w:val="24"/>
          <w:szCs w:val="24"/>
        </w:rPr>
        <w:t xml:space="preserve"> </w:t>
      </w:r>
      <w:r w:rsidRPr="00DB7EE0">
        <w:rPr>
          <w:sz w:val="24"/>
          <w:szCs w:val="24"/>
        </w:rPr>
        <w:t xml:space="preserve">a předpokládá se dále rozvoj interních výzkumných záměrů. </w:t>
      </w:r>
    </w:p>
    <w:p w:rsidR="001228B6" w:rsidRPr="00DB7EE0" w:rsidRDefault="001228B6" w:rsidP="00DB7EE0">
      <w:pPr>
        <w:spacing w:line="360" w:lineRule="auto"/>
        <w:jc w:val="both"/>
        <w:rPr>
          <w:sz w:val="24"/>
          <w:szCs w:val="24"/>
        </w:rPr>
      </w:pPr>
    </w:p>
    <w:p w:rsidR="002D794D" w:rsidRPr="00DB7EE0" w:rsidRDefault="00DB7EE0" w:rsidP="00DB7EE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Akademie o.p.s. má na web </w:t>
      </w:r>
      <w:r w:rsidR="002D794D" w:rsidRPr="00DB7EE0">
        <w:rPr>
          <w:sz w:val="24"/>
          <w:szCs w:val="24"/>
        </w:rPr>
        <w:t xml:space="preserve">na adrese: </w:t>
      </w:r>
      <w:hyperlink r:id="rId8" w:history="1">
        <w:r w:rsidR="002D794D" w:rsidRPr="00DB7EE0">
          <w:rPr>
            <w:rStyle w:val="Hypertextovodkaz"/>
            <w:sz w:val="24"/>
            <w:szCs w:val="24"/>
          </w:rPr>
          <w:t>http://www.akademieops.cz</w:t>
        </w:r>
      </w:hyperlink>
      <w:r w:rsidR="002D794D" w:rsidRPr="00DB7EE0">
        <w:rPr>
          <w:sz w:val="24"/>
          <w:szCs w:val="24"/>
        </w:rPr>
        <w:t xml:space="preserve"> svou stránku, kde jsou základní informace o společnosti a jsou zde také zveřejňovány Výroční zprávy.</w:t>
      </w:r>
    </w:p>
    <w:p w:rsidR="002D794D" w:rsidRDefault="002D794D" w:rsidP="00585EF3">
      <w:pPr>
        <w:spacing w:line="276" w:lineRule="auto"/>
        <w:rPr>
          <w:rFonts w:ascii="Georgia" w:hAnsi="Georgia"/>
          <w:sz w:val="22"/>
          <w:szCs w:val="22"/>
        </w:rPr>
      </w:pPr>
    </w:p>
    <w:p w:rsidR="00831FE8" w:rsidRPr="00585EF3" w:rsidRDefault="00831FE8" w:rsidP="00585EF3">
      <w:pPr>
        <w:spacing w:line="276" w:lineRule="auto"/>
        <w:rPr>
          <w:rFonts w:ascii="Georgia" w:hAnsi="Georgia"/>
          <w:sz w:val="22"/>
          <w:szCs w:val="22"/>
        </w:rPr>
      </w:pPr>
    </w:p>
    <w:p w:rsidR="002D794D" w:rsidRPr="00DB7EE0" w:rsidRDefault="002D794D" w:rsidP="00DB7EE0">
      <w:pPr>
        <w:spacing w:line="276" w:lineRule="auto"/>
        <w:rPr>
          <w:b/>
          <w:sz w:val="24"/>
          <w:szCs w:val="24"/>
          <w:u w:val="single"/>
        </w:rPr>
      </w:pPr>
      <w:r w:rsidRPr="00DB7EE0">
        <w:rPr>
          <w:b/>
          <w:sz w:val="24"/>
          <w:szCs w:val="24"/>
          <w:u w:val="single"/>
        </w:rPr>
        <w:t xml:space="preserve">Přílohy </w:t>
      </w: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2D794D" w:rsidRPr="00DB7EE0" w:rsidRDefault="00F21E65" w:rsidP="00DB7EE0">
      <w:pPr>
        <w:spacing w:line="276" w:lineRule="auto"/>
        <w:rPr>
          <w:sz w:val="24"/>
          <w:szCs w:val="24"/>
        </w:rPr>
      </w:pPr>
      <w:r w:rsidRPr="00DB7EE0">
        <w:rPr>
          <w:sz w:val="24"/>
          <w:szCs w:val="24"/>
        </w:rPr>
        <w:t>č. 1 Z</w:t>
      </w:r>
      <w:r w:rsidR="000F3CBD" w:rsidRPr="00DB7EE0">
        <w:rPr>
          <w:sz w:val="24"/>
          <w:szCs w:val="24"/>
        </w:rPr>
        <w:t>práva auditor</w:t>
      </w:r>
      <w:r w:rsidR="00585EF3" w:rsidRPr="00DB7EE0">
        <w:rPr>
          <w:sz w:val="24"/>
          <w:szCs w:val="24"/>
        </w:rPr>
        <w:t>a za účetní o</w:t>
      </w:r>
      <w:r w:rsidR="009F373F">
        <w:rPr>
          <w:sz w:val="24"/>
          <w:szCs w:val="24"/>
        </w:rPr>
        <w:t xml:space="preserve">bdobí  </w:t>
      </w:r>
      <w:r w:rsidR="00FA3AC3">
        <w:rPr>
          <w:sz w:val="24"/>
          <w:szCs w:val="24"/>
        </w:rPr>
        <w:t>2015/2016</w:t>
      </w: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  <w:r w:rsidRPr="00DB7EE0">
        <w:rPr>
          <w:sz w:val="24"/>
          <w:szCs w:val="24"/>
        </w:rPr>
        <w:t>č. 2 DP za účetní období 201</w:t>
      </w:r>
      <w:r w:rsidR="00FA3AC3">
        <w:rPr>
          <w:sz w:val="24"/>
          <w:szCs w:val="24"/>
        </w:rPr>
        <w:t>5</w:t>
      </w:r>
      <w:r w:rsidRPr="00DB7EE0">
        <w:rPr>
          <w:sz w:val="24"/>
          <w:szCs w:val="24"/>
        </w:rPr>
        <w:t>/201</w:t>
      </w:r>
      <w:r w:rsidR="00FA3AC3">
        <w:rPr>
          <w:sz w:val="24"/>
          <w:szCs w:val="24"/>
        </w:rPr>
        <w:t>6</w:t>
      </w:r>
      <w:r w:rsidR="000F3CBD" w:rsidRPr="00DB7EE0">
        <w:rPr>
          <w:sz w:val="24"/>
          <w:szCs w:val="24"/>
        </w:rPr>
        <w:t xml:space="preserve"> s přílohami</w:t>
      </w:r>
      <w:r w:rsidRPr="00DB7EE0">
        <w:rPr>
          <w:sz w:val="24"/>
          <w:szCs w:val="24"/>
        </w:rPr>
        <w:t>.</w:t>
      </w: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2D794D" w:rsidRPr="00DB7EE0" w:rsidRDefault="002D794D" w:rsidP="00DB7EE0">
      <w:pPr>
        <w:spacing w:line="276" w:lineRule="auto"/>
        <w:rPr>
          <w:sz w:val="24"/>
          <w:szCs w:val="24"/>
        </w:rPr>
      </w:pPr>
    </w:p>
    <w:p w:rsidR="00BB34B7" w:rsidRPr="00FA3AC3" w:rsidRDefault="00FA3AC3" w:rsidP="00DB7EE0">
      <w:pPr>
        <w:spacing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 Brně </w:t>
      </w:r>
      <w:r w:rsidRPr="00FA3AC3">
        <w:rPr>
          <w:color w:val="FF0000"/>
          <w:sz w:val="24"/>
          <w:szCs w:val="24"/>
        </w:rPr>
        <w:t>dne …………. 2017</w:t>
      </w:r>
    </w:p>
    <w:p w:rsidR="00BB34B7" w:rsidRPr="00DB7EE0" w:rsidRDefault="00BB34B7" w:rsidP="00DB7EE0">
      <w:pPr>
        <w:spacing w:line="276" w:lineRule="auto"/>
        <w:rPr>
          <w:sz w:val="24"/>
          <w:szCs w:val="24"/>
        </w:rPr>
      </w:pPr>
    </w:p>
    <w:p w:rsidR="002D794D" w:rsidRPr="00DB7EE0" w:rsidRDefault="002D794D" w:rsidP="00DB7EE0">
      <w:pPr>
        <w:spacing w:line="276" w:lineRule="auto"/>
        <w:ind w:left="2832"/>
        <w:jc w:val="center"/>
        <w:rPr>
          <w:sz w:val="24"/>
          <w:szCs w:val="24"/>
        </w:rPr>
      </w:pPr>
      <w:r w:rsidRPr="00DB7EE0">
        <w:rPr>
          <w:sz w:val="24"/>
          <w:szCs w:val="24"/>
        </w:rPr>
        <w:t xml:space="preserve">Předkládá: </w:t>
      </w:r>
    </w:p>
    <w:p w:rsidR="002D794D" w:rsidRPr="00DB7EE0" w:rsidRDefault="002D794D" w:rsidP="00DB7EE0">
      <w:pPr>
        <w:spacing w:line="276" w:lineRule="auto"/>
        <w:ind w:left="2832"/>
        <w:jc w:val="center"/>
        <w:rPr>
          <w:sz w:val="24"/>
          <w:szCs w:val="24"/>
        </w:rPr>
      </w:pPr>
    </w:p>
    <w:p w:rsidR="002D794D" w:rsidRPr="00DB7EE0" w:rsidRDefault="00FA3AC3" w:rsidP="00DB7EE0">
      <w:pPr>
        <w:spacing w:line="276" w:lineRule="auto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2D794D" w:rsidRPr="00DB7EE0">
        <w:rPr>
          <w:sz w:val="24"/>
          <w:szCs w:val="24"/>
        </w:rPr>
        <w:t>Ing. Vladimír KLABAN</w:t>
      </w:r>
      <w:r>
        <w:rPr>
          <w:sz w:val="24"/>
          <w:szCs w:val="24"/>
        </w:rPr>
        <w:t>, CSc.</w:t>
      </w:r>
    </w:p>
    <w:p w:rsidR="002D794D" w:rsidRPr="00DB7EE0" w:rsidRDefault="002D794D" w:rsidP="00DB7EE0">
      <w:pPr>
        <w:spacing w:line="276" w:lineRule="auto"/>
        <w:ind w:left="4248" w:firstLine="708"/>
        <w:rPr>
          <w:i/>
          <w:sz w:val="24"/>
          <w:szCs w:val="24"/>
        </w:rPr>
      </w:pPr>
      <w:r w:rsidRPr="00DB7EE0">
        <w:rPr>
          <w:i/>
          <w:sz w:val="24"/>
          <w:szCs w:val="24"/>
        </w:rPr>
        <w:t xml:space="preserve">ředitel AKADEMIE o.p.s.   </w:t>
      </w:r>
    </w:p>
    <w:p w:rsidR="002D794D" w:rsidRPr="00DB7EE0" w:rsidRDefault="002D794D" w:rsidP="00DB7EE0">
      <w:pPr>
        <w:spacing w:line="276" w:lineRule="auto"/>
        <w:jc w:val="both"/>
        <w:rPr>
          <w:sz w:val="24"/>
          <w:szCs w:val="24"/>
        </w:rPr>
      </w:pPr>
    </w:p>
    <w:sectPr w:rsidR="002D794D" w:rsidRPr="00DB7EE0" w:rsidSect="00667A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E6" w:rsidRDefault="002571E6" w:rsidP="00543B97">
      <w:r>
        <w:separator/>
      </w:r>
    </w:p>
  </w:endnote>
  <w:endnote w:type="continuationSeparator" w:id="0">
    <w:p w:rsidR="002571E6" w:rsidRDefault="002571E6" w:rsidP="0054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4D" w:rsidRDefault="00192E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1E13">
      <w:rPr>
        <w:noProof/>
      </w:rPr>
      <w:t>5</w:t>
    </w:r>
    <w:r>
      <w:rPr>
        <w:noProof/>
      </w:rPr>
      <w:fldChar w:fldCharType="end"/>
    </w:r>
  </w:p>
  <w:p w:rsidR="002D794D" w:rsidRDefault="002D79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E6" w:rsidRDefault="002571E6" w:rsidP="00543B97">
      <w:r>
        <w:separator/>
      </w:r>
    </w:p>
  </w:footnote>
  <w:footnote w:type="continuationSeparator" w:id="0">
    <w:p w:rsidR="002571E6" w:rsidRDefault="002571E6" w:rsidP="00543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54" w:rsidRPr="00904954" w:rsidRDefault="00904954" w:rsidP="00904954">
    <w:pPr>
      <w:pStyle w:val="Zhlav"/>
      <w:pBdr>
        <w:bottom w:val="thickThinSmallGap" w:sz="24" w:space="1" w:color="622423"/>
      </w:pBdr>
      <w:spacing w:line="360" w:lineRule="auto"/>
      <w:jc w:val="center"/>
      <w:rPr>
        <w:rFonts w:ascii="Georgia" w:hAnsi="Georgia"/>
        <w:b/>
        <w:sz w:val="32"/>
        <w:szCs w:val="32"/>
        <w:lang w:eastAsia="en-US"/>
      </w:rPr>
    </w:pPr>
    <w:r w:rsidRPr="00904954">
      <w:rPr>
        <w:rFonts w:ascii="Georgia" w:hAnsi="Georgia"/>
        <w:b/>
        <w:sz w:val="32"/>
        <w:szCs w:val="32"/>
        <w:lang w:eastAsia="en-US"/>
      </w:rPr>
      <w:t>AKADEMIE o. p. s.</w:t>
    </w:r>
  </w:p>
  <w:p w:rsidR="002D794D" w:rsidRPr="00904954" w:rsidRDefault="00904954" w:rsidP="00904954">
    <w:pPr>
      <w:pStyle w:val="Zhlav"/>
      <w:pBdr>
        <w:bottom w:val="thickThinSmallGap" w:sz="24" w:space="1" w:color="622423"/>
      </w:pBdr>
      <w:spacing w:line="360" w:lineRule="auto"/>
      <w:jc w:val="center"/>
      <w:rPr>
        <w:rFonts w:ascii="Georgia" w:hAnsi="Georgia"/>
        <w:sz w:val="22"/>
        <w:szCs w:val="22"/>
      </w:rPr>
    </w:pPr>
    <w:r w:rsidRPr="00904954">
      <w:rPr>
        <w:rFonts w:ascii="Georgia" w:hAnsi="Georgia"/>
        <w:sz w:val="22"/>
        <w:szCs w:val="22"/>
        <w:lang w:eastAsia="en-US"/>
      </w:rPr>
      <w:t xml:space="preserve">IČ 63493713, </w:t>
    </w:r>
    <w:r w:rsidR="002D794D" w:rsidRPr="00904954">
      <w:rPr>
        <w:rFonts w:ascii="Georgia" w:hAnsi="Georgia"/>
        <w:sz w:val="22"/>
        <w:szCs w:val="22"/>
        <w:lang w:eastAsia="en-US"/>
      </w:rPr>
      <w:t>Břenkova 3, 613 00 Brno, společnost je zapsána v Obchodním rejstříku KS v Brně, odd. O, vložka 1</w:t>
    </w:r>
  </w:p>
  <w:p w:rsidR="002D794D" w:rsidRDefault="002D79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3D4B3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70E06"/>
    <w:multiLevelType w:val="hybridMultilevel"/>
    <w:tmpl w:val="77B62020"/>
    <w:lvl w:ilvl="0" w:tplc="040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AE13D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D70EA0"/>
    <w:multiLevelType w:val="hybridMultilevel"/>
    <w:tmpl w:val="9800CE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FF1522"/>
    <w:multiLevelType w:val="hybridMultilevel"/>
    <w:tmpl w:val="C0D8A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74436C"/>
    <w:multiLevelType w:val="hybridMultilevel"/>
    <w:tmpl w:val="AEB85F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F2310A"/>
    <w:multiLevelType w:val="singleLevel"/>
    <w:tmpl w:val="19E6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D77048C"/>
    <w:multiLevelType w:val="multilevel"/>
    <w:tmpl w:val="6040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>
    <w:nsid w:val="7E4E54C2"/>
    <w:multiLevelType w:val="hybridMultilevel"/>
    <w:tmpl w:val="BD04F3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97"/>
    <w:rsid w:val="00004880"/>
    <w:rsid w:val="000168C2"/>
    <w:rsid w:val="00083354"/>
    <w:rsid w:val="000B08B5"/>
    <w:rsid w:val="000D7A06"/>
    <w:rsid w:val="000F3CBD"/>
    <w:rsid w:val="001039FF"/>
    <w:rsid w:val="001228B6"/>
    <w:rsid w:val="00137982"/>
    <w:rsid w:val="001668B8"/>
    <w:rsid w:val="00192E46"/>
    <w:rsid w:val="00194618"/>
    <w:rsid w:val="002142A5"/>
    <w:rsid w:val="002571E6"/>
    <w:rsid w:val="002B373C"/>
    <w:rsid w:val="002B7460"/>
    <w:rsid w:val="002C14D6"/>
    <w:rsid w:val="002D794D"/>
    <w:rsid w:val="002E5E54"/>
    <w:rsid w:val="002F156B"/>
    <w:rsid w:val="002F733E"/>
    <w:rsid w:val="00320E98"/>
    <w:rsid w:val="0032245C"/>
    <w:rsid w:val="00373AC2"/>
    <w:rsid w:val="003D1B08"/>
    <w:rsid w:val="00403866"/>
    <w:rsid w:val="004103D7"/>
    <w:rsid w:val="004710C8"/>
    <w:rsid w:val="004B5302"/>
    <w:rsid w:val="004D74E6"/>
    <w:rsid w:val="004E20DD"/>
    <w:rsid w:val="004E41F3"/>
    <w:rsid w:val="004E46DA"/>
    <w:rsid w:val="00505CFC"/>
    <w:rsid w:val="005333FF"/>
    <w:rsid w:val="005362AA"/>
    <w:rsid w:val="00543B97"/>
    <w:rsid w:val="00585EF3"/>
    <w:rsid w:val="0058674A"/>
    <w:rsid w:val="005958E8"/>
    <w:rsid w:val="0059599B"/>
    <w:rsid w:val="005A2475"/>
    <w:rsid w:val="005E4644"/>
    <w:rsid w:val="00642099"/>
    <w:rsid w:val="00647423"/>
    <w:rsid w:val="00666CAB"/>
    <w:rsid w:val="00667A6F"/>
    <w:rsid w:val="0067336F"/>
    <w:rsid w:val="007074FF"/>
    <w:rsid w:val="00732F17"/>
    <w:rsid w:val="00753320"/>
    <w:rsid w:val="00766A6A"/>
    <w:rsid w:val="007E29EF"/>
    <w:rsid w:val="007E6200"/>
    <w:rsid w:val="00831FE8"/>
    <w:rsid w:val="008834AA"/>
    <w:rsid w:val="00887F96"/>
    <w:rsid w:val="008C4D80"/>
    <w:rsid w:val="00904954"/>
    <w:rsid w:val="00905048"/>
    <w:rsid w:val="009677CE"/>
    <w:rsid w:val="00972326"/>
    <w:rsid w:val="00986242"/>
    <w:rsid w:val="009F373F"/>
    <w:rsid w:val="00A060F0"/>
    <w:rsid w:val="00A606CC"/>
    <w:rsid w:val="00A871CB"/>
    <w:rsid w:val="00AE0FAD"/>
    <w:rsid w:val="00B11380"/>
    <w:rsid w:val="00B62AD6"/>
    <w:rsid w:val="00BA4C6B"/>
    <w:rsid w:val="00BB34B7"/>
    <w:rsid w:val="00BE7A10"/>
    <w:rsid w:val="00BF46E0"/>
    <w:rsid w:val="00C21BF5"/>
    <w:rsid w:val="00C32009"/>
    <w:rsid w:val="00D07217"/>
    <w:rsid w:val="00D12E13"/>
    <w:rsid w:val="00D15597"/>
    <w:rsid w:val="00D156D8"/>
    <w:rsid w:val="00D15EBC"/>
    <w:rsid w:val="00D27D3D"/>
    <w:rsid w:val="00D40A21"/>
    <w:rsid w:val="00D57ED8"/>
    <w:rsid w:val="00D67D2B"/>
    <w:rsid w:val="00D965A7"/>
    <w:rsid w:val="00DB7EE0"/>
    <w:rsid w:val="00DC308B"/>
    <w:rsid w:val="00DC75D8"/>
    <w:rsid w:val="00E2062D"/>
    <w:rsid w:val="00E21706"/>
    <w:rsid w:val="00E27D66"/>
    <w:rsid w:val="00E36F42"/>
    <w:rsid w:val="00E74C89"/>
    <w:rsid w:val="00ED2F61"/>
    <w:rsid w:val="00ED7713"/>
    <w:rsid w:val="00F21E65"/>
    <w:rsid w:val="00F91414"/>
    <w:rsid w:val="00FA3AC3"/>
    <w:rsid w:val="00FC1E13"/>
    <w:rsid w:val="00FE2CD3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0D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43B97"/>
    <w:pPr>
      <w:keepNext/>
      <w:spacing w:line="360" w:lineRule="auto"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543B97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543B9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43B97"/>
    <w:pPr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43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3B9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D96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0D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43B97"/>
    <w:pPr>
      <w:keepNext/>
      <w:spacing w:line="360" w:lineRule="auto"/>
      <w:jc w:val="center"/>
      <w:outlineLvl w:val="0"/>
    </w:pPr>
    <w:rPr>
      <w:b/>
      <w:sz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543B97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uiPriority w:val="99"/>
    <w:semiHidden/>
    <w:rsid w:val="00543B97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543B97"/>
    <w:pPr>
      <w:jc w:val="center"/>
    </w:pPr>
    <w:rPr>
      <w:b/>
    </w:rPr>
  </w:style>
  <w:style w:type="character" w:customStyle="1" w:styleId="NzevChar">
    <w:name w:val="Název Char"/>
    <w:link w:val="Nzev"/>
    <w:uiPriority w:val="99"/>
    <w:locked/>
    <w:rsid w:val="00543B97"/>
    <w:rPr>
      <w:rFonts w:ascii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43B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43B97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43B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43B97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D9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eops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AKADEMIE o. p. s., Břenkova 3, 613 00 Brno, společnost je zapsána v Obchodním rejstříku KS v Brně, odd. O, vložka 1</vt:lpstr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o. p. s., Břenkova 3, 613 00 Brno, společnost je zapsána v Obchodním rejstříku KS v Brně, odd. O, vložka 1</dc:title>
  <dc:creator>VoVa</dc:creator>
  <cp:lastModifiedBy>Uživatel systému Windows</cp:lastModifiedBy>
  <cp:revision>1</cp:revision>
  <cp:lastPrinted>2015-02-12T06:35:00Z</cp:lastPrinted>
  <dcterms:created xsi:type="dcterms:W3CDTF">2018-12-16T08:48:00Z</dcterms:created>
  <dcterms:modified xsi:type="dcterms:W3CDTF">2018-12-16T08:48:00Z</dcterms:modified>
</cp:coreProperties>
</file>